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04591" w14:textId="1113191A" w:rsidR="572821BD" w:rsidRDefault="572821BD" w:rsidP="6AAAD755">
      <w:pPr>
        <w:spacing w:after="0" w:line="240" w:lineRule="auto"/>
        <w:jc w:val="center"/>
        <w:rPr>
          <w:rFonts w:ascii="Times New Roman" w:hAnsi="Times New Roman"/>
          <w:b/>
          <w:bCs/>
          <w:sz w:val="32"/>
          <w:szCs w:val="32"/>
          <w:lang w:val="en-US"/>
        </w:rPr>
      </w:pPr>
      <w:r w:rsidRPr="024281B5">
        <w:rPr>
          <w:rFonts w:ascii="Times New Roman" w:hAnsi="Times New Roman"/>
          <w:b/>
          <w:bCs/>
          <w:sz w:val="32"/>
          <w:szCs w:val="32"/>
          <w:lang w:val="en-US"/>
        </w:rPr>
        <w:t>Radiation Shielding Design for Non-Standard Synchrotron Beamlines</w:t>
      </w:r>
    </w:p>
    <w:p w14:paraId="2FFEDA8D" w14:textId="085CADF6" w:rsidR="3F971B28" w:rsidRPr="00C8504F" w:rsidRDefault="3F971B28" w:rsidP="693CB52B">
      <w:pPr>
        <w:spacing w:before="120" w:after="0" w:line="240" w:lineRule="auto"/>
        <w:jc w:val="center"/>
        <w:rPr>
          <w:rFonts w:ascii="Times New Roman" w:hAnsi="Times New Roman"/>
          <w:lang w:val="pt-BR"/>
        </w:rPr>
      </w:pPr>
      <w:r w:rsidRPr="00C8504F">
        <w:rPr>
          <w:rFonts w:ascii="Times New Roman" w:hAnsi="Times New Roman"/>
          <w:u w:val="single"/>
          <w:lang w:val="pt-BR"/>
        </w:rPr>
        <w:t>Moraes I. C.¹</w:t>
      </w:r>
      <w:r w:rsidRPr="00C8504F">
        <w:rPr>
          <w:rFonts w:ascii="Times New Roman" w:hAnsi="Times New Roman"/>
          <w:lang w:val="pt-BR"/>
        </w:rPr>
        <w:t xml:space="preserve">, F. A. </w:t>
      </w:r>
      <w:proofErr w:type="spellStart"/>
      <w:r w:rsidRPr="00C8504F">
        <w:rPr>
          <w:rFonts w:ascii="Times New Roman" w:hAnsi="Times New Roman"/>
          <w:lang w:val="pt-BR"/>
        </w:rPr>
        <w:t>Bacchim</w:t>
      </w:r>
      <w:proofErr w:type="spellEnd"/>
      <w:r w:rsidRPr="00C8504F">
        <w:rPr>
          <w:rFonts w:ascii="Times New Roman" w:hAnsi="Times New Roman"/>
          <w:lang w:val="pt-BR"/>
        </w:rPr>
        <w:t xml:space="preserve"> Neto¹</w:t>
      </w:r>
    </w:p>
    <w:p w14:paraId="6C01B90D" w14:textId="2D8422ED" w:rsidR="009E0598" w:rsidRPr="009E0598" w:rsidRDefault="5B30F1CC" w:rsidP="024281B5">
      <w:pPr>
        <w:spacing w:before="120" w:after="0" w:line="240" w:lineRule="auto"/>
        <w:jc w:val="center"/>
        <w:rPr>
          <w:rFonts w:ascii="Times New Roman" w:hAnsi="Times New Roman"/>
          <w:i/>
          <w:iCs/>
          <w:sz w:val="18"/>
          <w:szCs w:val="18"/>
          <w:lang w:val="en-US"/>
        </w:rPr>
      </w:pPr>
      <w:r w:rsidRPr="024281B5">
        <w:rPr>
          <w:rFonts w:ascii="Times New Roman" w:hAnsi="Times New Roman"/>
          <w:i/>
          <w:iCs/>
          <w:sz w:val="18"/>
          <w:szCs w:val="18"/>
          <w:lang w:val="en-US"/>
        </w:rPr>
        <w:t>¹Brazilian Center for Research in Energy and Materials, Campinas, SP, Brazil.</w:t>
      </w:r>
    </w:p>
    <w:p w14:paraId="672A6659" w14:textId="77777777" w:rsidR="00746CEF" w:rsidRPr="009E0598" w:rsidRDefault="00746CEF" w:rsidP="002363D5">
      <w:pPr>
        <w:spacing w:after="0" w:line="240" w:lineRule="auto"/>
        <w:jc w:val="both"/>
        <w:rPr>
          <w:rFonts w:ascii="Times New Roman" w:hAnsi="Times New Roman"/>
          <w:lang w:val="en-US"/>
        </w:rPr>
      </w:pPr>
    </w:p>
    <w:p w14:paraId="0A37501D" w14:textId="77777777" w:rsidR="0025027A" w:rsidRPr="009E0598" w:rsidRDefault="0025027A" w:rsidP="002363D5">
      <w:pPr>
        <w:spacing w:after="0" w:line="240" w:lineRule="auto"/>
        <w:jc w:val="both"/>
        <w:rPr>
          <w:rFonts w:ascii="Times New Roman" w:hAnsi="Times New Roman"/>
          <w:lang w:val="en-US"/>
        </w:rPr>
      </w:pPr>
    </w:p>
    <w:p w14:paraId="7CBFD60A" w14:textId="77777777" w:rsidR="00746CEF" w:rsidRDefault="00746CEF" w:rsidP="024281B5">
      <w:pPr>
        <w:spacing w:after="0" w:line="240" w:lineRule="auto"/>
        <w:jc w:val="both"/>
        <w:rPr>
          <w:rFonts w:ascii="Times New Roman" w:hAnsi="Times New Roman"/>
          <w:b/>
          <w:bCs/>
          <w:lang w:val="en-US"/>
        </w:rPr>
      </w:pPr>
      <w:r w:rsidRPr="024281B5">
        <w:rPr>
          <w:rFonts w:ascii="Times New Roman" w:hAnsi="Times New Roman"/>
          <w:b/>
          <w:bCs/>
          <w:lang w:val="en-US"/>
        </w:rPr>
        <w:t>Abstract</w:t>
      </w:r>
    </w:p>
    <w:p w14:paraId="5DAB6C7B" w14:textId="77777777" w:rsidR="00BC1EB4" w:rsidRPr="00746CEF" w:rsidRDefault="00BC1EB4" w:rsidP="024281B5">
      <w:pPr>
        <w:spacing w:after="0" w:line="240" w:lineRule="auto"/>
        <w:jc w:val="both"/>
        <w:rPr>
          <w:rFonts w:ascii="Times New Roman" w:hAnsi="Times New Roman"/>
          <w:b/>
          <w:bCs/>
          <w:lang w:val="en-US"/>
        </w:rPr>
      </w:pPr>
    </w:p>
    <w:p w14:paraId="1160FB48" w14:textId="1421BFBF" w:rsidR="00461595" w:rsidRPr="00461595" w:rsidRDefault="3259E27E" w:rsidP="2F0400ED">
      <w:pPr>
        <w:spacing w:after="0" w:line="240" w:lineRule="auto"/>
        <w:jc w:val="both"/>
        <w:rPr>
          <w:rFonts w:ascii="Times New Roman" w:hAnsi="Times New Roman"/>
          <w:lang w:val="en-US"/>
        </w:rPr>
      </w:pPr>
      <w:r w:rsidRPr="024281B5">
        <w:rPr>
          <w:rFonts w:ascii="Times New Roman" w:hAnsi="Times New Roman"/>
          <w:lang w:val="en-US"/>
        </w:rPr>
        <w:t>Machine dosimetry in synchrotrons often focuses on shielding design for standard X-ray beamlines. However, non-traditional beamlines, such as those extracting infrared (IR), visible, or ultraviolet (UV) radiation, present unique challenges that require customized shielding approaches. This work presents the radiation shielding calculations and design solutions developed designed using FLUKA.CERN [1] for three distinct beamlines at Sirius: IMBUIA, CARCARÁ, and SAPÊ. IMBUIA is a mid-IR beamline where radiation is extracted at the same level of the storage ring from a low-field bending magnet and reflected at approximately 90º inside the accelerator tunnel. The shielding strategy involved tungsten and lead elements within the accelerator’s concrete walls, as well as a small external shielding hutch to mitigate photon and neutron contributions. The primary challenge was achieving a satisfactory dose reduction at the hutch tube exit after multiple perpendicular scatterings. CARCARÁ extracts into two regions: 11 keV in the conventional extraction and visible light at 90º from the machine, but in this case, the extraction is through the storage ring ceiling. The shielding assessment considered electron loss, synchrotron photon scattering, and Gas Bremsstrahlung, leading to the design of elements such as masks, walls, and shutters with optimized thicknesses for different shielding materials, including tungsten, steel, and lead. SAPÊ, a UV-C beamline, required containment of scattered radiation within the concrete shielding of the storage ring while allowing only UV extraction via mirrors installed inside the concrete shielding, in the front-end region. To ensure compliance with dose limits outside the shielding, a lead mask and a steel wall were implemented inside the ring. For all three cases, biasing techniques and geometric optimizations were applied to achieve satisfactory simulation results. The effectiveness of these shielding solutions was confirmed through experimental measurements, validating the accuracy of the simulations and design choices. This study highlights the importance of adapting radiation protection strategies, ensuring safe operation and compliance with radiological constraints in synchrotron facilities</w:t>
      </w:r>
      <w:r w:rsidR="00833651" w:rsidRPr="024281B5">
        <w:rPr>
          <w:rFonts w:ascii="Times New Roman" w:hAnsi="Times New Roman"/>
          <w:lang w:val="en-US"/>
        </w:rPr>
        <w:t>.</w:t>
      </w:r>
    </w:p>
    <w:p w14:paraId="02EB378F" w14:textId="77777777" w:rsidR="00481CC0" w:rsidRDefault="00481CC0" w:rsidP="024281B5">
      <w:pPr>
        <w:spacing w:after="0" w:line="240" w:lineRule="auto"/>
        <w:jc w:val="both"/>
        <w:rPr>
          <w:rStyle w:val="BodyTextChar"/>
          <w:rFonts w:eastAsia="Calibri"/>
          <w:sz w:val="22"/>
          <w:szCs w:val="22"/>
        </w:rPr>
      </w:pPr>
    </w:p>
    <w:p w14:paraId="59342630" w14:textId="0539078F" w:rsidR="00BC1EB4" w:rsidRDefault="55482092" w:rsidP="024281B5">
      <w:pPr>
        <w:numPr>
          <w:ilvl w:val="0"/>
          <w:numId w:val="2"/>
        </w:numPr>
        <w:spacing w:after="0" w:line="240" w:lineRule="auto"/>
        <w:ind w:left="357" w:hanging="357"/>
        <w:jc w:val="both"/>
        <w:rPr>
          <w:rStyle w:val="BodyTextChar"/>
          <w:rFonts w:eastAsia="Calibri"/>
          <w:b/>
          <w:bCs/>
          <w:sz w:val="22"/>
          <w:szCs w:val="22"/>
        </w:rPr>
      </w:pPr>
      <w:r w:rsidRPr="024281B5">
        <w:rPr>
          <w:rStyle w:val="BodyTextChar"/>
          <w:rFonts w:eastAsia="Calibri"/>
          <w:b/>
          <w:bCs/>
          <w:sz w:val="22"/>
          <w:szCs w:val="22"/>
        </w:rPr>
        <w:t>Introduction</w:t>
      </w:r>
    </w:p>
    <w:p w14:paraId="19583C6D" w14:textId="69B9E7B3" w:rsidR="00BC1EB4" w:rsidRDefault="00BC1EB4" w:rsidP="024281B5">
      <w:pPr>
        <w:spacing w:after="0" w:line="240" w:lineRule="auto"/>
        <w:jc w:val="both"/>
        <w:rPr>
          <w:rStyle w:val="BodyTextChar"/>
          <w:rFonts w:eastAsia="Calibri"/>
          <w:b/>
          <w:bCs/>
          <w:sz w:val="22"/>
          <w:szCs w:val="22"/>
        </w:rPr>
      </w:pPr>
    </w:p>
    <w:p w14:paraId="7DB9DA07" w14:textId="5D53AC63" w:rsidR="00BC1EB4" w:rsidRDefault="37B1564A" w:rsidP="024281B5">
      <w:pPr>
        <w:spacing w:after="0" w:line="240" w:lineRule="auto"/>
        <w:jc w:val="both"/>
        <w:rPr>
          <w:rStyle w:val="BodyTextChar"/>
          <w:rFonts w:eastAsia="Calibri"/>
          <w:sz w:val="22"/>
          <w:szCs w:val="22"/>
        </w:rPr>
      </w:pPr>
      <w:r w:rsidRPr="024281B5">
        <w:rPr>
          <w:rStyle w:val="BodyTextChar"/>
          <w:rFonts w:eastAsia="Calibri"/>
          <w:sz w:val="22"/>
          <w:szCs w:val="22"/>
        </w:rPr>
        <w:t>Radiation shielding in synchrotron facilities traditionally focuses on standard X-ray beamlines, primarily addressing photon and neutron shielding in conventional extraction geometries. However, synchrotron sources incorporate diverse beamlines extracting radiation beyond X-rays, including infrared (IR), visible, and ultraviolet (UV) light. These non-traditional beamlines pose distinct radiological challenges due to unconventional extraction angles, radiation types, and spatial constraints, necessitating tailored shielding solutions to ensure operational safety and regulatory compliance.</w:t>
      </w:r>
    </w:p>
    <w:p w14:paraId="0F239EA3" w14:textId="0F869E4E" w:rsidR="00BC1EB4" w:rsidRDefault="37B1564A" w:rsidP="024281B5">
      <w:pPr>
        <w:spacing w:after="0" w:line="240" w:lineRule="auto"/>
        <w:jc w:val="both"/>
        <w:rPr>
          <w:rStyle w:val="BodyTextChar"/>
          <w:rFonts w:eastAsia="Calibri"/>
          <w:sz w:val="22"/>
          <w:szCs w:val="22"/>
        </w:rPr>
      </w:pPr>
      <w:r w:rsidRPr="024281B5">
        <w:rPr>
          <w:rStyle w:val="BodyTextChar"/>
          <w:rFonts w:eastAsia="Calibri"/>
          <w:sz w:val="22"/>
          <w:szCs w:val="22"/>
        </w:rPr>
        <w:t>This work presents a comprehensive approach to radiation shielding design for three novel beamlines at the Sirius synchrotron light source: IMBUIA (mid-IR), CARCARÁ (visible and 11 keV X-rays), and SAPÊ (UV-C). Utilizing the Monte Carlo particle transport code FLUKA.CERN [1], complex shielding geometries were modeled with biasing techniques to optimize computation.</w:t>
      </w:r>
    </w:p>
    <w:p w14:paraId="1FC56F4C" w14:textId="3B9007C4" w:rsidR="00BC1EB4" w:rsidRDefault="00BC1EB4" w:rsidP="024281B5">
      <w:pPr>
        <w:spacing w:after="0" w:line="240" w:lineRule="auto"/>
        <w:jc w:val="both"/>
        <w:rPr>
          <w:rStyle w:val="BodyTextChar"/>
          <w:rFonts w:eastAsia="Calibri"/>
          <w:b/>
          <w:bCs/>
          <w:sz w:val="22"/>
          <w:szCs w:val="22"/>
        </w:rPr>
      </w:pPr>
    </w:p>
    <w:p w14:paraId="32B9E973" w14:textId="41257EB8" w:rsidR="00BC1EB4" w:rsidRDefault="55482092" w:rsidP="024281B5">
      <w:pPr>
        <w:numPr>
          <w:ilvl w:val="0"/>
          <w:numId w:val="2"/>
        </w:numPr>
        <w:spacing w:after="0" w:line="240" w:lineRule="auto"/>
        <w:ind w:left="357" w:hanging="357"/>
        <w:jc w:val="both"/>
        <w:rPr>
          <w:rStyle w:val="BodyTextChar"/>
          <w:rFonts w:eastAsia="Calibri"/>
          <w:b/>
          <w:bCs/>
          <w:sz w:val="22"/>
          <w:szCs w:val="22"/>
        </w:rPr>
      </w:pPr>
      <w:r w:rsidRPr="024281B5">
        <w:rPr>
          <w:rStyle w:val="BodyTextChar"/>
          <w:rFonts w:eastAsia="Calibri"/>
          <w:b/>
          <w:bCs/>
          <w:sz w:val="22"/>
          <w:szCs w:val="22"/>
        </w:rPr>
        <w:t>IMBUIA Beamline (Mid-IR)</w:t>
      </w:r>
    </w:p>
    <w:p w14:paraId="45004CD6" w14:textId="2EC91BC5" w:rsidR="00BC1EB4" w:rsidRDefault="00BC1EB4" w:rsidP="024281B5">
      <w:pPr>
        <w:spacing w:after="0" w:line="240" w:lineRule="auto"/>
        <w:jc w:val="both"/>
        <w:rPr>
          <w:rStyle w:val="BodyTextChar"/>
          <w:rFonts w:eastAsia="Calibri"/>
          <w:b/>
          <w:bCs/>
          <w:sz w:val="22"/>
          <w:szCs w:val="22"/>
        </w:rPr>
      </w:pPr>
    </w:p>
    <w:p w14:paraId="555C1D0B" w14:textId="10C947A5" w:rsidR="00BC1EB4" w:rsidRDefault="17F69137" w:rsidP="024281B5">
      <w:pPr>
        <w:spacing w:after="0" w:line="240" w:lineRule="auto"/>
        <w:jc w:val="both"/>
        <w:rPr>
          <w:rStyle w:val="BodyTextChar"/>
          <w:rFonts w:eastAsia="Calibri"/>
          <w:sz w:val="22"/>
          <w:szCs w:val="22"/>
        </w:rPr>
      </w:pPr>
      <w:r w:rsidRPr="024281B5">
        <w:rPr>
          <w:rStyle w:val="BodyTextChar"/>
          <w:rFonts w:eastAsia="Calibri"/>
          <w:sz w:val="22"/>
          <w:szCs w:val="22"/>
        </w:rPr>
        <w:t xml:space="preserve">IMBUIA (Infrared Micro- and Nano-spectroscopy Beamline for Ultra-resolved Imaging Applications) represents the inaugural mid-infrared beamline at the Sirius synchrotron facility. It supports advanced spectroscopic analysis at both micro- and nanoscale spatial resolutions through two experimental </w:t>
      </w:r>
      <w:proofErr w:type="spellStart"/>
      <w:r w:rsidRPr="024281B5">
        <w:rPr>
          <w:rStyle w:val="BodyTextChar"/>
          <w:rFonts w:eastAsia="Calibri"/>
          <w:sz w:val="22"/>
          <w:szCs w:val="22"/>
        </w:rPr>
        <w:t>endstations</w:t>
      </w:r>
      <w:proofErr w:type="spellEnd"/>
      <w:r w:rsidRPr="024281B5">
        <w:rPr>
          <w:rStyle w:val="BodyTextChar"/>
          <w:rFonts w:eastAsia="Calibri"/>
          <w:sz w:val="22"/>
          <w:szCs w:val="22"/>
        </w:rPr>
        <w:t xml:space="preserve">: IMBUIA-micro, optimized for chemical mapping of microscale samples, and IMBUIA-nano, developed for nanoscale vibrational and optical characterization. The beamline extracts synchrotron radiation from a </w:t>
      </w:r>
      <w:r w:rsidR="7E0054CC" w:rsidRPr="024281B5">
        <w:rPr>
          <w:rStyle w:val="BodyTextChar"/>
          <w:rFonts w:eastAsia="Calibri"/>
          <w:sz w:val="22"/>
          <w:szCs w:val="22"/>
        </w:rPr>
        <w:t xml:space="preserve">0.56 T </w:t>
      </w:r>
      <w:r w:rsidRPr="024281B5">
        <w:rPr>
          <w:rStyle w:val="BodyTextChar"/>
          <w:rFonts w:eastAsia="Calibri"/>
          <w:sz w:val="22"/>
          <w:szCs w:val="22"/>
        </w:rPr>
        <w:t>low field bending magnet. The photon beam is initially reflected by a primary mirror (M1) positioned near the extraction port, then passes through the concrete shielding of the storage ring enclosure. Outside the ring, two additional mirrors (M2 and M3) housed within a radiation shielding hutch direct the beam toward the experimental stations.</w:t>
      </w:r>
    </w:p>
    <w:p w14:paraId="4D909513" w14:textId="01BF7481" w:rsidR="00BC1EB4" w:rsidRDefault="00BC1EB4" w:rsidP="024281B5">
      <w:pPr>
        <w:spacing w:after="0" w:line="240" w:lineRule="auto"/>
        <w:jc w:val="both"/>
        <w:rPr>
          <w:rStyle w:val="BodyTextChar"/>
          <w:rFonts w:eastAsia="Calibri"/>
          <w:sz w:val="22"/>
          <w:szCs w:val="22"/>
        </w:rPr>
      </w:pPr>
    </w:p>
    <w:p w14:paraId="4A397B4E" w14:textId="733C3A32" w:rsidR="00BC1EB4" w:rsidRDefault="5228DDBD" w:rsidP="024281B5">
      <w:pPr>
        <w:spacing w:after="0" w:line="240" w:lineRule="auto"/>
        <w:jc w:val="both"/>
        <w:rPr>
          <w:rFonts w:ascii="Times New Roman" w:eastAsia="Times New Roman" w:hAnsi="Times New Roman"/>
          <w:lang w:val="en-US"/>
        </w:rPr>
      </w:pPr>
      <w:r w:rsidRPr="024281B5">
        <w:rPr>
          <w:rFonts w:ascii="Times New Roman" w:eastAsia="Times New Roman" w:hAnsi="Times New Roman"/>
          <w:color w:val="000000" w:themeColor="text1"/>
          <w:lang w:val="en-US"/>
        </w:rPr>
        <w:lastRenderedPageBreak/>
        <w:t xml:space="preserve"> </w:t>
      </w:r>
      <w:r w:rsidRPr="024281B5">
        <w:rPr>
          <w:rFonts w:ascii="Times New Roman" w:eastAsia="Times New Roman" w:hAnsi="Times New Roman"/>
          <w:lang w:val="en-US"/>
        </w:rPr>
        <w:t xml:space="preserve"> </w:t>
      </w:r>
      <w:r w:rsidR="10607284">
        <w:rPr>
          <w:noProof/>
        </w:rPr>
        <w:drawing>
          <wp:inline distT="0" distB="0" distL="0" distR="0" wp14:anchorId="360D6348" wp14:editId="2BB851D7">
            <wp:extent cx="2934092" cy="1648367"/>
            <wp:effectExtent l="0" t="0" r="0" b="0"/>
            <wp:docPr id="85247234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472349" name=""/>
                    <pic:cNvPicPr/>
                  </pic:nvPicPr>
                  <pic:blipFill>
                    <a:blip r:embed="rId7">
                      <a:extLst>
                        <a:ext uri="{28A0092B-C50C-407E-A947-70E740481C1C}">
                          <a14:useLocalDpi xmlns:a14="http://schemas.microsoft.com/office/drawing/2010/main"/>
                        </a:ext>
                      </a:extLst>
                    </a:blip>
                    <a:stretch>
                      <a:fillRect/>
                    </a:stretch>
                  </pic:blipFill>
                  <pic:spPr>
                    <a:xfrm>
                      <a:off x="0" y="0"/>
                      <a:ext cx="2934092" cy="1648367"/>
                    </a:xfrm>
                    <a:prstGeom prst="rect">
                      <a:avLst/>
                    </a:prstGeom>
                  </pic:spPr>
                </pic:pic>
              </a:graphicData>
            </a:graphic>
          </wp:inline>
        </w:drawing>
      </w:r>
      <w:r w:rsidR="10607284">
        <w:rPr>
          <w:noProof/>
        </w:rPr>
        <w:drawing>
          <wp:inline distT="0" distB="0" distL="0" distR="0" wp14:anchorId="5622BDBD" wp14:editId="5A0DF2D6">
            <wp:extent cx="2933700" cy="1648146"/>
            <wp:effectExtent l="0" t="0" r="0" b="0"/>
            <wp:docPr id="158157306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573062" name=""/>
                    <pic:cNvPicPr/>
                  </pic:nvPicPr>
                  <pic:blipFill>
                    <a:blip r:embed="rId8">
                      <a:extLst>
                        <a:ext uri="{28A0092B-C50C-407E-A947-70E740481C1C}">
                          <a14:useLocalDpi xmlns:a14="http://schemas.microsoft.com/office/drawing/2010/main"/>
                        </a:ext>
                      </a:extLst>
                    </a:blip>
                    <a:stretch>
                      <a:fillRect/>
                    </a:stretch>
                  </pic:blipFill>
                  <pic:spPr>
                    <a:xfrm>
                      <a:off x="0" y="0"/>
                      <a:ext cx="2933700" cy="1648146"/>
                    </a:xfrm>
                    <a:prstGeom prst="rect">
                      <a:avLst/>
                    </a:prstGeom>
                  </pic:spPr>
                </pic:pic>
              </a:graphicData>
            </a:graphic>
          </wp:inline>
        </w:drawing>
      </w:r>
    </w:p>
    <w:p w14:paraId="3B915A5A" w14:textId="091F5DA1" w:rsidR="00BC1EB4" w:rsidRDefault="17F69137" w:rsidP="024281B5">
      <w:pPr>
        <w:pStyle w:val="FigureCaption"/>
        <w:spacing w:before="120" w:after="0"/>
        <w:rPr>
          <w:b w:val="0"/>
          <w:bCs w:val="0"/>
          <w:i/>
          <w:iCs/>
          <w:sz w:val="20"/>
          <w:szCs w:val="20"/>
          <w:lang w:eastAsia="zh-CN"/>
        </w:rPr>
      </w:pPr>
      <w:r w:rsidRPr="024281B5">
        <w:rPr>
          <w:b w:val="0"/>
          <w:bCs w:val="0"/>
          <w:i/>
          <w:iCs/>
          <w:sz w:val="20"/>
          <w:szCs w:val="20"/>
        </w:rPr>
        <w:t xml:space="preserve">Fig.1 – </w:t>
      </w:r>
      <w:r w:rsidR="00933E08" w:rsidRPr="024281B5">
        <w:rPr>
          <w:b w:val="0"/>
          <w:bCs w:val="0"/>
          <w:i/>
          <w:iCs/>
          <w:sz w:val="20"/>
          <w:szCs w:val="20"/>
        </w:rPr>
        <w:t>Schematic overview of the IMBUIA layout showing mirror positions, extraction path, and shielding elements</w:t>
      </w:r>
      <w:r w:rsidRPr="024281B5">
        <w:rPr>
          <w:b w:val="0"/>
          <w:bCs w:val="0"/>
          <w:i/>
          <w:iCs/>
          <w:sz w:val="20"/>
          <w:szCs w:val="20"/>
        </w:rPr>
        <w:t>.</w:t>
      </w:r>
    </w:p>
    <w:p w14:paraId="102AA266" w14:textId="1A68AB37" w:rsidR="00BC1EB4" w:rsidRDefault="00BC1EB4" w:rsidP="024281B5">
      <w:pPr>
        <w:spacing w:after="0" w:line="240" w:lineRule="auto"/>
        <w:jc w:val="both"/>
        <w:rPr>
          <w:rStyle w:val="BodyTextChar"/>
          <w:rFonts w:eastAsia="Calibri"/>
          <w:sz w:val="22"/>
          <w:szCs w:val="22"/>
        </w:rPr>
      </w:pPr>
    </w:p>
    <w:p w14:paraId="35F4585A" w14:textId="51F85004" w:rsidR="00BC1EB4" w:rsidRDefault="17F69137" w:rsidP="024281B5">
      <w:pPr>
        <w:spacing w:after="0" w:line="240" w:lineRule="auto"/>
        <w:jc w:val="both"/>
        <w:rPr>
          <w:rStyle w:val="BodyTextChar"/>
          <w:rFonts w:eastAsia="Calibri"/>
          <w:sz w:val="22"/>
          <w:szCs w:val="22"/>
        </w:rPr>
      </w:pPr>
      <w:r w:rsidRPr="024281B5">
        <w:rPr>
          <w:rStyle w:val="BodyTextChar"/>
          <w:rFonts w:eastAsia="Calibri"/>
          <w:sz w:val="22"/>
          <w:szCs w:val="22"/>
        </w:rPr>
        <w:t>Designing effective shielding for IMBUIA required addressing the complexity arising from its unique beam extraction geometry and the confined spatial conditions of the accelerator tunnel. Notably, the beam undergoes approximately 90º reflection inside the tunnel, generating multiple perpendicular scattering events involving photons and secondary particles such as neutrons, which could potentially expose personnel if not adequately shielded. Hence, the shielding strategy focused on containing scattered radiation within the tunnel and experimental areas while maintaining accessibility for operational modes.</w:t>
      </w:r>
    </w:p>
    <w:p w14:paraId="7C7DE790" w14:textId="19AD88D9" w:rsidR="00BC1EB4" w:rsidRDefault="0E02437E" w:rsidP="024281B5">
      <w:pPr>
        <w:spacing w:after="0" w:line="240" w:lineRule="auto"/>
        <w:jc w:val="both"/>
        <w:rPr>
          <w:rStyle w:val="BodyTextChar"/>
          <w:rFonts w:eastAsia="Calibri"/>
          <w:sz w:val="22"/>
          <w:szCs w:val="22"/>
        </w:rPr>
      </w:pPr>
      <w:r w:rsidRPr="024281B5">
        <w:rPr>
          <w:rStyle w:val="BodyTextChar"/>
          <w:rFonts w:eastAsia="Calibri"/>
          <w:sz w:val="22"/>
          <w:szCs w:val="22"/>
        </w:rPr>
        <w:t xml:space="preserve">The shielding solution integrates internal components embedded within the storage ring concrete wall and external structures surrounding critical optical elements. </w:t>
      </w:r>
      <w:r w:rsidR="5ADC2F83" w:rsidRPr="024281B5">
        <w:rPr>
          <w:rStyle w:val="BodyTextChar"/>
          <w:rFonts w:eastAsia="Calibri"/>
          <w:sz w:val="22"/>
          <w:szCs w:val="22"/>
        </w:rPr>
        <w:t xml:space="preserve">The </w:t>
      </w:r>
      <w:proofErr w:type="gramStart"/>
      <w:r w:rsidR="5ADC2F83" w:rsidRPr="024281B5">
        <w:rPr>
          <w:rStyle w:val="BodyTextChar"/>
          <w:rFonts w:eastAsia="Calibri"/>
          <w:sz w:val="22"/>
          <w:szCs w:val="22"/>
        </w:rPr>
        <w:t>resulting dose</w:t>
      </w:r>
      <w:proofErr w:type="gramEnd"/>
      <w:r w:rsidR="5ADC2F83" w:rsidRPr="024281B5">
        <w:rPr>
          <w:rStyle w:val="BodyTextChar"/>
          <w:rFonts w:eastAsia="Calibri"/>
          <w:sz w:val="22"/>
          <w:szCs w:val="22"/>
        </w:rPr>
        <w:t xml:space="preserve"> distribution maps, as shown in Figure </w:t>
      </w:r>
      <w:proofErr w:type="gramStart"/>
      <w:r w:rsidR="373DA81B" w:rsidRPr="024281B5">
        <w:rPr>
          <w:rStyle w:val="BodyTextChar"/>
          <w:rFonts w:eastAsia="Calibri"/>
          <w:sz w:val="22"/>
          <w:szCs w:val="22"/>
        </w:rPr>
        <w:t>2</w:t>
      </w:r>
      <w:r w:rsidR="5ADC2F83" w:rsidRPr="024281B5">
        <w:rPr>
          <w:rStyle w:val="BodyTextChar"/>
          <w:rFonts w:eastAsia="Calibri"/>
          <w:sz w:val="22"/>
          <w:szCs w:val="22"/>
        </w:rPr>
        <w:t xml:space="preserve"> were</w:t>
      </w:r>
      <w:proofErr w:type="gramEnd"/>
      <w:r w:rsidR="5ADC2F83" w:rsidRPr="024281B5">
        <w:rPr>
          <w:rStyle w:val="BodyTextChar"/>
          <w:rFonts w:eastAsia="Calibri"/>
          <w:sz w:val="22"/>
          <w:szCs w:val="22"/>
        </w:rPr>
        <w:t xml:space="preserve"> essential in defining the optimal thicknesses and placements of the internal shielding elements. </w:t>
      </w:r>
      <w:r w:rsidRPr="024281B5">
        <w:rPr>
          <w:rStyle w:val="BodyTextChar"/>
          <w:rFonts w:eastAsia="Calibri"/>
          <w:sz w:val="22"/>
          <w:szCs w:val="22"/>
        </w:rPr>
        <w:t xml:space="preserve">Internally, a heavy tungsten shutter operates as a primary beam stopper, controlling beam passage and mitigating radiation scatter when closed. Adjacent to this shutter, a tungsten mask is fixed in place to reduce </w:t>
      </w:r>
      <w:r w:rsidR="0CB155FA" w:rsidRPr="024281B5">
        <w:rPr>
          <w:rStyle w:val="BodyTextChar"/>
          <w:rFonts w:eastAsia="Calibri"/>
          <w:sz w:val="22"/>
          <w:szCs w:val="22"/>
        </w:rPr>
        <w:t xml:space="preserve">shutter </w:t>
      </w:r>
      <w:r w:rsidR="54738C12" w:rsidRPr="024281B5">
        <w:rPr>
          <w:rStyle w:val="BodyTextChar"/>
          <w:rFonts w:eastAsia="Calibri"/>
          <w:sz w:val="22"/>
          <w:szCs w:val="22"/>
        </w:rPr>
        <w:t>weight</w:t>
      </w:r>
      <w:r w:rsidRPr="024281B5">
        <w:rPr>
          <w:rStyle w:val="BodyTextChar"/>
          <w:rFonts w:eastAsia="Calibri"/>
          <w:sz w:val="22"/>
          <w:szCs w:val="22"/>
        </w:rPr>
        <w:t xml:space="preserve">. </w:t>
      </w:r>
      <w:r w:rsidR="64652763" w:rsidRPr="024281B5">
        <w:rPr>
          <w:rStyle w:val="BodyTextChar"/>
          <w:rFonts w:eastAsia="Calibri"/>
          <w:sz w:val="22"/>
          <w:szCs w:val="22"/>
        </w:rPr>
        <w:t>Additional lead reinforcements around the beamline opening provide supplementary attenuation of residual radiation.</w:t>
      </w:r>
    </w:p>
    <w:p w14:paraId="79674879" w14:textId="34D95DE4" w:rsidR="00BC1EB4" w:rsidRDefault="1E80528C" w:rsidP="024281B5">
      <w:pPr>
        <w:spacing w:after="0" w:line="240" w:lineRule="auto"/>
        <w:jc w:val="both"/>
        <w:rPr>
          <w:rFonts w:ascii="Times New Roman" w:eastAsia="Times New Roman" w:hAnsi="Times New Roman"/>
          <w:lang w:val="en-US"/>
        </w:rPr>
      </w:pPr>
      <w:r>
        <w:rPr>
          <w:noProof/>
        </w:rPr>
        <w:drawing>
          <wp:inline distT="0" distB="0" distL="0" distR="0" wp14:anchorId="722C35D6" wp14:editId="11BFC406">
            <wp:extent cx="2939739" cy="1523743"/>
            <wp:effectExtent l="0" t="0" r="0" b="0"/>
            <wp:docPr id="19620340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034035" name=""/>
                    <pic:cNvPicPr/>
                  </pic:nvPicPr>
                  <pic:blipFill>
                    <a:blip r:embed="rId9">
                      <a:extLst>
                        <a:ext uri="{28A0092B-C50C-407E-A947-70E740481C1C}">
                          <a14:useLocalDpi xmlns:a14="http://schemas.microsoft.com/office/drawing/2010/main"/>
                        </a:ext>
                      </a:extLst>
                    </a:blip>
                    <a:stretch>
                      <a:fillRect/>
                    </a:stretch>
                  </pic:blipFill>
                  <pic:spPr>
                    <a:xfrm>
                      <a:off x="0" y="0"/>
                      <a:ext cx="2939739" cy="1523743"/>
                    </a:xfrm>
                    <a:prstGeom prst="rect">
                      <a:avLst/>
                    </a:prstGeom>
                  </pic:spPr>
                </pic:pic>
              </a:graphicData>
            </a:graphic>
          </wp:inline>
        </w:drawing>
      </w:r>
      <w:r>
        <w:rPr>
          <w:noProof/>
        </w:rPr>
        <w:drawing>
          <wp:inline distT="0" distB="0" distL="0" distR="0" wp14:anchorId="2517C9EB" wp14:editId="7FF6333D">
            <wp:extent cx="2891993" cy="1500812"/>
            <wp:effectExtent l="0" t="0" r="0" b="0"/>
            <wp:docPr id="196802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0203" name=""/>
                    <pic:cNvPicPr/>
                  </pic:nvPicPr>
                  <pic:blipFill>
                    <a:blip r:embed="rId10">
                      <a:extLst>
                        <a:ext uri="{28A0092B-C50C-407E-A947-70E740481C1C}">
                          <a14:useLocalDpi xmlns:a14="http://schemas.microsoft.com/office/drawing/2010/main"/>
                        </a:ext>
                      </a:extLst>
                    </a:blip>
                    <a:stretch>
                      <a:fillRect/>
                    </a:stretch>
                  </pic:blipFill>
                  <pic:spPr>
                    <a:xfrm>
                      <a:off x="0" y="0"/>
                      <a:ext cx="2891993" cy="1500812"/>
                    </a:xfrm>
                    <a:prstGeom prst="rect">
                      <a:avLst/>
                    </a:prstGeom>
                  </pic:spPr>
                </pic:pic>
              </a:graphicData>
            </a:graphic>
          </wp:inline>
        </w:drawing>
      </w:r>
    </w:p>
    <w:p w14:paraId="452C3874" w14:textId="1C5A78A2" w:rsidR="00BC1EB4" w:rsidRDefault="6405E76D" w:rsidP="024281B5">
      <w:pPr>
        <w:spacing w:after="0" w:line="240" w:lineRule="auto"/>
        <w:jc w:val="center"/>
        <w:rPr>
          <w:i/>
          <w:iCs/>
          <w:sz w:val="20"/>
          <w:szCs w:val="20"/>
          <w:lang w:val="en-US"/>
        </w:rPr>
      </w:pPr>
      <w:r w:rsidRPr="024281B5">
        <w:rPr>
          <w:rFonts w:ascii="Times New Roman" w:eastAsia="Times New Roman" w:hAnsi="Times New Roman" w:cs="Miriam"/>
          <w:i/>
          <w:iCs/>
          <w:sz w:val="20"/>
          <w:szCs w:val="20"/>
          <w:lang w:val="en-US" w:eastAsia="en-AU"/>
        </w:rPr>
        <w:t xml:space="preserve">(a) Electron Losses                                             </w:t>
      </w:r>
      <w:proofErr w:type="gramStart"/>
      <w:r w:rsidRPr="024281B5">
        <w:rPr>
          <w:rFonts w:ascii="Times New Roman" w:eastAsia="Times New Roman" w:hAnsi="Times New Roman" w:cs="Miriam"/>
          <w:i/>
          <w:iCs/>
          <w:sz w:val="20"/>
          <w:szCs w:val="20"/>
          <w:lang w:val="en-US" w:eastAsia="en-AU"/>
        </w:rPr>
        <w:t xml:space="preserve">   (</w:t>
      </w:r>
      <w:proofErr w:type="gramEnd"/>
      <w:r w:rsidRPr="024281B5">
        <w:rPr>
          <w:rFonts w:ascii="Times New Roman" w:eastAsia="Times New Roman" w:hAnsi="Times New Roman" w:cs="Miriam"/>
          <w:i/>
          <w:iCs/>
          <w:sz w:val="20"/>
          <w:szCs w:val="20"/>
          <w:lang w:val="en-US" w:eastAsia="en-AU"/>
        </w:rPr>
        <w:t>b) Synchrotron Scattering</w:t>
      </w:r>
    </w:p>
    <w:p w14:paraId="66F8CDF4" w14:textId="3B599E36" w:rsidR="00BC1EB4" w:rsidRDefault="1DE77307" w:rsidP="024281B5">
      <w:pPr>
        <w:pStyle w:val="FigureCaption"/>
        <w:spacing w:before="120" w:after="0"/>
        <w:rPr>
          <w:b w:val="0"/>
          <w:bCs w:val="0"/>
          <w:i/>
          <w:iCs/>
          <w:sz w:val="20"/>
          <w:szCs w:val="20"/>
          <w:lang w:eastAsia="zh-CN"/>
        </w:rPr>
      </w:pPr>
      <w:r w:rsidRPr="024281B5">
        <w:rPr>
          <w:b w:val="0"/>
          <w:bCs w:val="0"/>
          <w:i/>
          <w:iCs/>
          <w:sz w:val="20"/>
          <w:szCs w:val="20"/>
        </w:rPr>
        <w:t>Fig.</w:t>
      </w:r>
      <w:r w:rsidR="7E6D1079" w:rsidRPr="024281B5">
        <w:rPr>
          <w:b w:val="0"/>
          <w:bCs w:val="0"/>
          <w:i/>
          <w:iCs/>
          <w:sz w:val="20"/>
          <w:szCs w:val="20"/>
        </w:rPr>
        <w:t>2</w:t>
      </w:r>
      <w:r w:rsidRPr="024281B5">
        <w:rPr>
          <w:b w:val="0"/>
          <w:bCs w:val="0"/>
          <w:i/>
          <w:iCs/>
          <w:sz w:val="20"/>
          <w:szCs w:val="20"/>
        </w:rPr>
        <w:t xml:space="preserve"> – Dose distribution maps from internal front-end radiation simulations</w:t>
      </w:r>
      <w:r w:rsidR="577E2BE2" w:rsidRPr="024281B5">
        <w:rPr>
          <w:b w:val="0"/>
          <w:bCs w:val="0"/>
          <w:i/>
          <w:iCs/>
          <w:sz w:val="20"/>
          <w:szCs w:val="20"/>
        </w:rPr>
        <w:t>.</w:t>
      </w:r>
    </w:p>
    <w:p w14:paraId="3C8164DA" w14:textId="54CD2964" w:rsidR="00BC1EB4" w:rsidRDefault="00BC1EB4" w:rsidP="024281B5">
      <w:pPr>
        <w:pStyle w:val="FigureCaption"/>
        <w:spacing w:before="120" w:after="0"/>
        <w:rPr>
          <w:b w:val="0"/>
          <w:bCs w:val="0"/>
          <w:i/>
          <w:iCs/>
          <w:sz w:val="20"/>
          <w:szCs w:val="20"/>
        </w:rPr>
      </w:pPr>
    </w:p>
    <w:p w14:paraId="198E4A97" w14:textId="0F3F388B" w:rsidR="00BC1EB4" w:rsidRDefault="200E8A75" w:rsidP="024281B5">
      <w:pPr>
        <w:spacing w:after="0" w:line="240" w:lineRule="auto"/>
        <w:jc w:val="both"/>
        <w:rPr>
          <w:rStyle w:val="BodyTextChar"/>
          <w:rFonts w:eastAsia="Calibri"/>
          <w:sz w:val="22"/>
          <w:szCs w:val="22"/>
        </w:rPr>
      </w:pPr>
      <w:r w:rsidRPr="024281B5">
        <w:rPr>
          <w:rStyle w:val="BodyTextChar"/>
          <w:rFonts w:eastAsia="Calibri"/>
          <w:sz w:val="22"/>
          <w:szCs w:val="22"/>
        </w:rPr>
        <w:t xml:space="preserve">Externally, the shielding hutch enclosing mirrors M2, M3, and M4 combines steel and lead walls whose </w:t>
      </w:r>
      <w:proofErr w:type="gramStart"/>
      <w:r w:rsidRPr="024281B5">
        <w:rPr>
          <w:rStyle w:val="BodyTextChar"/>
          <w:rFonts w:eastAsia="Calibri"/>
          <w:sz w:val="22"/>
          <w:szCs w:val="22"/>
        </w:rPr>
        <w:t>thicknesses</w:t>
      </w:r>
      <w:proofErr w:type="gramEnd"/>
      <w:r w:rsidRPr="024281B5">
        <w:rPr>
          <w:rStyle w:val="BodyTextChar"/>
          <w:rFonts w:eastAsia="Calibri"/>
          <w:sz w:val="22"/>
          <w:szCs w:val="22"/>
        </w:rPr>
        <w:t xml:space="preserve"> were optimized through FLUKA simulations.</w:t>
      </w:r>
    </w:p>
    <w:p w14:paraId="4C1C034C" w14:textId="254606BE" w:rsidR="00BC1EB4" w:rsidRDefault="56380062" w:rsidP="024281B5">
      <w:pPr>
        <w:pStyle w:val="FigureCaption"/>
        <w:spacing w:before="120" w:after="0"/>
        <w:rPr>
          <w:b w:val="0"/>
          <w:bCs w:val="0"/>
          <w:i/>
          <w:iCs/>
          <w:sz w:val="20"/>
          <w:szCs w:val="20"/>
          <w:lang w:eastAsia="zh-CN"/>
        </w:rPr>
      </w:pPr>
      <w:r>
        <w:rPr>
          <w:noProof/>
        </w:rPr>
        <w:drawing>
          <wp:inline distT="0" distB="0" distL="0" distR="0" wp14:anchorId="157C4859" wp14:editId="1E59887C">
            <wp:extent cx="5195888" cy="1516485"/>
            <wp:effectExtent l="0" t="0" r="0" b="0"/>
            <wp:docPr id="44144371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43714" name=""/>
                    <pic:cNvPicPr/>
                  </pic:nvPicPr>
                  <pic:blipFill>
                    <a:blip r:embed="rId11">
                      <a:extLst>
                        <a:ext uri="{28A0092B-C50C-407E-A947-70E740481C1C}">
                          <a14:useLocalDpi xmlns:a14="http://schemas.microsoft.com/office/drawing/2010/main"/>
                        </a:ext>
                      </a:extLst>
                    </a:blip>
                    <a:stretch>
                      <a:fillRect/>
                    </a:stretch>
                  </pic:blipFill>
                  <pic:spPr>
                    <a:xfrm>
                      <a:off x="0" y="0"/>
                      <a:ext cx="5195888" cy="1516485"/>
                    </a:xfrm>
                    <a:prstGeom prst="rect">
                      <a:avLst/>
                    </a:prstGeom>
                  </pic:spPr>
                </pic:pic>
              </a:graphicData>
            </a:graphic>
          </wp:inline>
        </w:drawing>
      </w:r>
    </w:p>
    <w:p w14:paraId="6E3F1DA2" w14:textId="37ADF2E4" w:rsidR="00BC1EB4" w:rsidRDefault="7B2078AA" w:rsidP="024281B5">
      <w:pPr>
        <w:pStyle w:val="FigureCaption"/>
        <w:spacing w:before="120" w:after="0"/>
        <w:rPr>
          <w:b w:val="0"/>
          <w:bCs w:val="0"/>
          <w:i/>
          <w:iCs/>
          <w:sz w:val="20"/>
          <w:szCs w:val="20"/>
          <w:lang w:eastAsia="zh-CN"/>
        </w:rPr>
      </w:pPr>
      <w:r w:rsidRPr="024281B5">
        <w:rPr>
          <w:b w:val="0"/>
          <w:bCs w:val="0"/>
          <w:i/>
          <w:iCs/>
          <w:sz w:val="20"/>
          <w:szCs w:val="20"/>
        </w:rPr>
        <w:t xml:space="preserve">(a) Electron Losses - Steel                               </w:t>
      </w:r>
      <w:proofErr w:type="gramStart"/>
      <w:r w:rsidRPr="024281B5">
        <w:rPr>
          <w:b w:val="0"/>
          <w:bCs w:val="0"/>
          <w:i/>
          <w:iCs/>
          <w:sz w:val="20"/>
          <w:szCs w:val="20"/>
        </w:rPr>
        <w:t xml:space="preserve">   (</w:t>
      </w:r>
      <w:proofErr w:type="gramEnd"/>
      <w:r w:rsidRPr="024281B5">
        <w:rPr>
          <w:b w:val="0"/>
          <w:bCs w:val="0"/>
          <w:i/>
          <w:iCs/>
          <w:sz w:val="20"/>
          <w:szCs w:val="20"/>
        </w:rPr>
        <w:t>b) Electron Losses - Lead</w:t>
      </w:r>
    </w:p>
    <w:p w14:paraId="309D0A4A" w14:textId="2F8EBE04" w:rsidR="00BC1EB4" w:rsidRDefault="56380062" w:rsidP="024281B5">
      <w:pPr>
        <w:pStyle w:val="FigureCaption"/>
        <w:spacing w:before="120" w:after="0"/>
      </w:pPr>
      <w:r>
        <w:rPr>
          <w:noProof/>
        </w:rPr>
        <w:lastRenderedPageBreak/>
        <w:drawing>
          <wp:inline distT="0" distB="0" distL="0" distR="0" wp14:anchorId="63F3CD15" wp14:editId="2E6D558D">
            <wp:extent cx="4678623" cy="1343693"/>
            <wp:effectExtent l="0" t="0" r="0" b="0"/>
            <wp:docPr id="3777485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74851" name=""/>
                    <pic:cNvPicPr/>
                  </pic:nvPicPr>
                  <pic:blipFill>
                    <a:blip r:embed="rId12">
                      <a:extLst>
                        <a:ext uri="{28A0092B-C50C-407E-A947-70E740481C1C}">
                          <a14:useLocalDpi xmlns:a14="http://schemas.microsoft.com/office/drawing/2010/main"/>
                        </a:ext>
                      </a:extLst>
                    </a:blip>
                    <a:stretch>
                      <a:fillRect/>
                    </a:stretch>
                  </pic:blipFill>
                  <pic:spPr>
                    <a:xfrm>
                      <a:off x="0" y="0"/>
                      <a:ext cx="4678623" cy="1343693"/>
                    </a:xfrm>
                    <a:prstGeom prst="rect">
                      <a:avLst/>
                    </a:prstGeom>
                  </pic:spPr>
                </pic:pic>
              </a:graphicData>
            </a:graphic>
          </wp:inline>
        </w:drawing>
      </w:r>
    </w:p>
    <w:p w14:paraId="266C533C" w14:textId="3E25F3C6" w:rsidR="00BC1EB4" w:rsidRDefault="56380062" w:rsidP="024281B5">
      <w:pPr>
        <w:pStyle w:val="FigureCaption"/>
        <w:spacing w:before="120" w:after="0"/>
        <w:rPr>
          <w:b w:val="0"/>
          <w:bCs w:val="0"/>
          <w:i/>
          <w:iCs/>
          <w:sz w:val="20"/>
          <w:szCs w:val="20"/>
          <w:lang w:eastAsia="zh-CN"/>
        </w:rPr>
      </w:pPr>
      <w:r w:rsidRPr="024281B5">
        <w:rPr>
          <w:b w:val="0"/>
          <w:bCs w:val="0"/>
          <w:i/>
          <w:iCs/>
          <w:sz w:val="20"/>
          <w:szCs w:val="20"/>
        </w:rPr>
        <w:t>(</w:t>
      </w:r>
      <w:r w:rsidR="079FFAB7" w:rsidRPr="024281B5">
        <w:rPr>
          <w:b w:val="0"/>
          <w:bCs w:val="0"/>
          <w:i/>
          <w:iCs/>
          <w:sz w:val="20"/>
          <w:szCs w:val="20"/>
        </w:rPr>
        <w:t>c</w:t>
      </w:r>
      <w:r w:rsidRPr="024281B5">
        <w:rPr>
          <w:b w:val="0"/>
          <w:bCs w:val="0"/>
          <w:i/>
          <w:iCs/>
          <w:sz w:val="20"/>
          <w:szCs w:val="20"/>
        </w:rPr>
        <w:t xml:space="preserve">) </w:t>
      </w:r>
      <w:r w:rsidR="507B01E7" w:rsidRPr="024281B5">
        <w:rPr>
          <w:b w:val="0"/>
          <w:bCs w:val="0"/>
          <w:i/>
          <w:iCs/>
          <w:sz w:val="20"/>
          <w:szCs w:val="20"/>
        </w:rPr>
        <w:t xml:space="preserve">Synchrotron Scattering - </w:t>
      </w:r>
      <w:r w:rsidRPr="024281B5">
        <w:rPr>
          <w:b w:val="0"/>
          <w:bCs w:val="0"/>
          <w:i/>
          <w:iCs/>
          <w:sz w:val="20"/>
          <w:szCs w:val="20"/>
        </w:rPr>
        <w:t xml:space="preserve">Steel                               </w:t>
      </w:r>
      <w:proofErr w:type="gramStart"/>
      <w:r w:rsidRPr="024281B5">
        <w:rPr>
          <w:b w:val="0"/>
          <w:bCs w:val="0"/>
          <w:i/>
          <w:iCs/>
          <w:sz w:val="20"/>
          <w:szCs w:val="20"/>
        </w:rPr>
        <w:t xml:space="preserve">   (</w:t>
      </w:r>
      <w:proofErr w:type="gramEnd"/>
      <w:r w:rsidR="7732C826" w:rsidRPr="024281B5">
        <w:rPr>
          <w:b w:val="0"/>
          <w:bCs w:val="0"/>
          <w:i/>
          <w:iCs/>
          <w:sz w:val="20"/>
          <w:szCs w:val="20"/>
        </w:rPr>
        <w:t>d</w:t>
      </w:r>
      <w:r w:rsidRPr="024281B5">
        <w:rPr>
          <w:b w:val="0"/>
          <w:bCs w:val="0"/>
          <w:i/>
          <w:iCs/>
          <w:sz w:val="20"/>
          <w:szCs w:val="20"/>
        </w:rPr>
        <w:t xml:space="preserve">) </w:t>
      </w:r>
      <w:r w:rsidR="177AF248" w:rsidRPr="024281B5">
        <w:rPr>
          <w:b w:val="0"/>
          <w:bCs w:val="0"/>
          <w:i/>
          <w:iCs/>
          <w:sz w:val="20"/>
          <w:szCs w:val="20"/>
        </w:rPr>
        <w:t xml:space="preserve">Synchrotron Scattering - </w:t>
      </w:r>
      <w:r w:rsidRPr="024281B5">
        <w:rPr>
          <w:b w:val="0"/>
          <w:bCs w:val="0"/>
          <w:i/>
          <w:iCs/>
          <w:sz w:val="20"/>
          <w:szCs w:val="20"/>
        </w:rPr>
        <w:t>Lead</w:t>
      </w:r>
    </w:p>
    <w:p w14:paraId="7E7516F8" w14:textId="2EB5E5BE" w:rsidR="00BC1EB4" w:rsidRDefault="56380062" w:rsidP="024281B5">
      <w:pPr>
        <w:pStyle w:val="FigureCaption"/>
        <w:spacing w:before="120" w:after="0"/>
        <w:rPr>
          <w:b w:val="0"/>
          <w:bCs w:val="0"/>
          <w:i/>
          <w:iCs/>
          <w:sz w:val="20"/>
          <w:szCs w:val="20"/>
        </w:rPr>
      </w:pPr>
      <w:r w:rsidRPr="024281B5">
        <w:rPr>
          <w:b w:val="0"/>
          <w:bCs w:val="0"/>
          <w:i/>
          <w:iCs/>
          <w:sz w:val="20"/>
          <w:szCs w:val="20"/>
        </w:rPr>
        <w:t xml:space="preserve"> Fig.3 – Dose maps from simulations of external shielding hutch used to define steel and lead wall thicknesses.</w:t>
      </w:r>
    </w:p>
    <w:p w14:paraId="12C5DB99" w14:textId="768C4B86" w:rsidR="00BC1EB4" w:rsidRDefault="00BC1EB4" w:rsidP="024281B5">
      <w:pPr>
        <w:pStyle w:val="FigureCaption"/>
        <w:spacing w:before="120" w:after="0"/>
        <w:jc w:val="both"/>
        <w:rPr>
          <w:rStyle w:val="BodyTextChar"/>
          <w:b w:val="0"/>
          <w:bCs w:val="0"/>
          <w:sz w:val="22"/>
          <w:szCs w:val="22"/>
          <w:lang w:eastAsia="en-US"/>
        </w:rPr>
      </w:pPr>
    </w:p>
    <w:p w14:paraId="486BEAA9" w14:textId="5527666A" w:rsidR="00BC1EB4" w:rsidRDefault="05A07D50" w:rsidP="024281B5">
      <w:pPr>
        <w:pStyle w:val="FigureCaption"/>
        <w:spacing w:before="120" w:after="0"/>
        <w:jc w:val="both"/>
        <w:rPr>
          <w:rStyle w:val="BodyTextChar"/>
          <w:b w:val="0"/>
          <w:bCs w:val="0"/>
          <w:sz w:val="22"/>
          <w:szCs w:val="22"/>
          <w:lang w:eastAsia="en-US"/>
        </w:rPr>
      </w:pPr>
      <w:r w:rsidRPr="024281B5">
        <w:rPr>
          <w:rStyle w:val="BodyTextChar"/>
          <w:b w:val="0"/>
          <w:bCs w:val="0"/>
          <w:sz w:val="22"/>
          <w:szCs w:val="22"/>
          <w:lang w:eastAsia="en-US"/>
        </w:rPr>
        <w:t xml:space="preserve">Throughout the design and construction process, iterative feedback between simulation results and engineering implementation refined the shielding strategy, with the final solution adopted shown in Figure 4, </w:t>
      </w:r>
      <w:r w:rsidR="5B2889F1" w:rsidRPr="024281B5">
        <w:rPr>
          <w:rStyle w:val="BodyTextChar"/>
          <w:b w:val="0"/>
          <w:bCs w:val="0"/>
          <w:sz w:val="22"/>
          <w:szCs w:val="22"/>
          <w:lang w:eastAsia="en-US"/>
        </w:rPr>
        <w:t xml:space="preserve">with </w:t>
      </w:r>
      <w:r w:rsidRPr="024281B5">
        <w:rPr>
          <w:rStyle w:val="BodyTextChar"/>
          <w:b w:val="0"/>
          <w:bCs w:val="0"/>
          <w:sz w:val="22"/>
          <w:szCs w:val="22"/>
          <w:lang w:eastAsia="en-US"/>
        </w:rPr>
        <w:t>first beam was measured in February 2021.</w:t>
      </w:r>
    </w:p>
    <w:p w14:paraId="010BB943" w14:textId="22D0C29B" w:rsidR="00BC1EB4" w:rsidRDefault="00BC1EB4" w:rsidP="024281B5">
      <w:pPr>
        <w:pStyle w:val="FigureCaption"/>
        <w:spacing w:before="120" w:after="0"/>
        <w:jc w:val="both"/>
        <w:rPr>
          <w:rStyle w:val="BodyTextChar"/>
          <w:b w:val="0"/>
          <w:bCs w:val="0"/>
          <w:sz w:val="22"/>
          <w:szCs w:val="22"/>
          <w:lang w:eastAsia="en-US"/>
        </w:rPr>
      </w:pPr>
    </w:p>
    <w:p w14:paraId="71E4CE09" w14:textId="2CCB40D5" w:rsidR="00BC1EB4" w:rsidRDefault="65C516B7" w:rsidP="024281B5">
      <w:pPr>
        <w:spacing w:after="0" w:line="240" w:lineRule="auto"/>
        <w:jc w:val="center"/>
        <w:rPr>
          <w:rFonts w:ascii="Times New Roman" w:eastAsia="Times New Roman" w:hAnsi="Times New Roman"/>
          <w:lang w:val="en-US"/>
        </w:rPr>
      </w:pPr>
      <w:r>
        <w:rPr>
          <w:noProof/>
        </w:rPr>
        <w:drawing>
          <wp:inline distT="0" distB="0" distL="0" distR="0" wp14:anchorId="41F32F08" wp14:editId="57C22AF9">
            <wp:extent cx="1588130" cy="1460615"/>
            <wp:effectExtent l="0" t="0" r="0" b="0"/>
            <wp:docPr id="181100040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44237" name=""/>
                    <pic:cNvPicPr/>
                  </pic:nvPicPr>
                  <pic:blipFill>
                    <a:blip r:embed="rId13">
                      <a:extLst>
                        <a:ext uri="{28A0092B-C50C-407E-A947-70E740481C1C}">
                          <a14:useLocalDpi xmlns:a14="http://schemas.microsoft.com/office/drawing/2010/main"/>
                        </a:ext>
                      </a:extLst>
                    </a:blip>
                    <a:stretch>
                      <a:fillRect/>
                    </a:stretch>
                  </pic:blipFill>
                  <pic:spPr>
                    <a:xfrm>
                      <a:off x="0" y="0"/>
                      <a:ext cx="1588130" cy="1460615"/>
                    </a:xfrm>
                    <a:prstGeom prst="rect">
                      <a:avLst/>
                    </a:prstGeom>
                  </pic:spPr>
                </pic:pic>
              </a:graphicData>
            </a:graphic>
          </wp:inline>
        </w:drawing>
      </w:r>
      <w:r>
        <w:rPr>
          <w:noProof/>
        </w:rPr>
        <w:drawing>
          <wp:inline distT="0" distB="0" distL="0" distR="0" wp14:anchorId="44D866E0" wp14:editId="0B3E5C47">
            <wp:extent cx="1617598" cy="1454349"/>
            <wp:effectExtent l="0" t="0" r="0" b="0"/>
            <wp:docPr id="2043494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660451" name=""/>
                    <pic:cNvPicPr/>
                  </pic:nvPicPr>
                  <pic:blipFill>
                    <a:blip r:embed="rId14">
                      <a:extLst>
                        <a:ext uri="{28A0092B-C50C-407E-A947-70E740481C1C}">
                          <a14:useLocalDpi xmlns:a14="http://schemas.microsoft.com/office/drawing/2010/main"/>
                        </a:ext>
                      </a:extLst>
                    </a:blip>
                    <a:stretch>
                      <a:fillRect/>
                    </a:stretch>
                  </pic:blipFill>
                  <pic:spPr>
                    <a:xfrm>
                      <a:off x="0" y="0"/>
                      <a:ext cx="1617598" cy="1454349"/>
                    </a:xfrm>
                    <a:prstGeom prst="rect">
                      <a:avLst/>
                    </a:prstGeom>
                  </pic:spPr>
                </pic:pic>
              </a:graphicData>
            </a:graphic>
          </wp:inline>
        </w:drawing>
      </w:r>
    </w:p>
    <w:p w14:paraId="5F883E80" w14:textId="03DA6427" w:rsidR="00BC1EB4" w:rsidRDefault="65C516B7" w:rsidP="024281B5">
      <w:pPr>
        <w:spacing w:after="0" w:line="240" w:lineRule="auto"/>
        <w:jc w:val="center"/>
        <w:rPr>
          <w:rFonts w:ascii="Times New Roman" w:eastAsia="Times New Roman" w:hAnsi="Times New Roman"/>
          <w:i/>
          <w:iCs/>
          <w:lang w:val="en-US"/>
        </w:rPr>
      </w:pPr>
      <w:r w:rsidRPr="024281B5">
        <w:rPr>
          <w:rFonts w:ascii="Times New Roman" w:eastAsia="Times New Roman" w:hAnsi="Times New Roman"/>
          <w:i/>
          <w:iCs/>
          <w:color w:val="000000" w:themeColor="text1"/>
          <w:lang w:val="en-US"/>
        </w:rPr>
        <w:t>(a) Front-end</w:t>
      </w:r>
    </w:p>
    <w:p w14:paraId="06BF2F10" w14:textId="0CDF9538" w:rsidR="00BC1EB4" w:rsidRDefault="65C516B7" w:rsidP="024281B5">
      <w:pPr>
        <w:spacing w:after="0" w:line="240" w:lineRule="auto"/>
        <w:jc w:val="center"/>
        <w:rPr>
          <w:rFonts w:ascii="Times New Roman" w:eastAsia="Times New Roman" w:hAnsi="Times New Roman"/>
          <w:lang w:val="en-US"/>
        </w:rPr>
      </w:pPr>
      <w:r>
        <w:rPr>
          <w:noProof/>
        </w:rPr>
        <w:drawing>
          <wp:inline distT="0" distB="0" distL="0" distR="0" wp14:anchorId="56BBAC43" wp14:editId="5F2C0429">
            <wp:extent cx="1750806" cy="1287500"/>
            <wp:effectExtent l="0" t="0" r="0" b="0"/>
            <wp:docPr id="81709156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284853" name=""/>
                    <pic:cNvPicPr/>
                  </pic:nvPicPr>
                  <pic:blipFill>
                    <a:blip r:embed="rId15">
                      <a:extLst>
                        <a:ext uri="{28A0092B-C50C-407E-A947-70E740481C1C}">
                          <a14:useLocalDpi xmlns:a14="http://schemas.microsoft.com/office/drawing/2010/main"/>
                        </a:ext>
                      </a:extLst>
                    </a:blip>
                    <a:stretch>
                      <a:fillRect/>
                    </a:stretch>
                  </pic:blipFill>
                  <pic:spPr>
                    <a:xfrm>
                      <a:off x="0" y="0"/>
                      <a:ext cx="1750806" cy="1287500"/>
                    </a:xfrm>
                    <a:prstGeom prst="rect">
                      <a:avLst/>
                    </a:prstGeom>
                  </pic:spPr>
                </pic:pic>
              </a:graphicData>
            </a:graphic>
          </wp:inline>
        </w:drawing>
      </w:r>
      <w:r w:rsidRPr="024281B5">
        <w:rPr>
          <w:rFonts w:ascii="Times New Roman" w:eastAsia="Times New Roman" w:hAnsi="Times New Roman"/>
          <w:color w:val="000000" w:themeColor="text1"/>
          <w:lang w:val="en-US"/>
        </w:rPr>
        <w:t xml:space="preserve"> </w:t>
      </w:r>
      <w:r>
        <w:rPr>
          <w:noProof/>
        </w:rPr>
        <w:drawing>
          <wp:inline distT="0" distB="0" distL="0" distR="0" wp14:anchorId="641399F8" wp14:editId="75EEB0F1">
            <wp:extent cx="1587559" cy="1293460"/>
            <wp:effectExtent l="0" t="0" r="0" b="0"/>
            <wp:docPr id="3209909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79936" name=""/>
                    <pic:cNvPicPr/>
                  </pic:nvPicPr>
                  <pic:blipFill>
                    <a:blip r:embed="rId16">
                      <a:extLst>
                        <a:ext uri="{28A0092B-C50C-407E-A947-70E740481C1C}">
                          <a14:useLocalDpi xmlns:a14="http://schemas.microsoft.com/office/drawing/2010/main"/>
                        </a:ext>
                      </a:extLst>
                    </a:blip>
                    <a:stretch>
                      <a:fillRect/>
                    </a:stretch>
                  </pic:blipFill>
                  <pic:spPr>
                    <a:xfrm>
                      <a:off x="0" y="0"/>
                      <a:ext cx="1587559" cy="1293460"/>
                    </a:xfrm>
                    <a:prstGeom prst="rect">
                      <a:avLst/>
                    </a:prstGeom>
                  </pic:spPr>
                </pic:pic>
              </a:graphicData>
            </a:graphic>
          </wp:inline>
        </w:drawing>
      </w:r>
    </w:p>
    <w:p w14:paraId="0639A74E" w14:textId="7933CCB1" w:rsidR="00BC1EB4" w:rsidRDefault="65C516B7" w:rsidP="024281B5">
      <w:pPr>
        <w:spacing w:after="0" w:line="240" w:lineRule="auto"/>
        <w:jc w:val="center"/>
        <w:rPr>
          <w:rFonts w:ascii="Times New Roman" w:eastAsia="Times New Roman" w:hAnsi="Times New Roman"/>
          <w:i/>
          <w:iCs/>
          <w:lang w:val="en-US"/>
        </w:rPr>
      </w:pPr>
      <w:r w:rsidRPr="024281B5">
        <w:rPr>
          <w:rFonts w:ascii="Times New Roman" w:eastAsia="Times New Roman" w:hAnsi="Times New Roman"/>
          <w:i/>
          <w:iCs/>
          <w:color w:val="000000" w:themeColor="text1"/>
          <w:lang w:val="en-US"/>
        </w:rPr>
        <w:t>(b) Hutch</w:t>
      </w:r>
    </w:p>
    <w:p w14:paraId="123C8A1B" w14:textId="0F89ECD1" w:rsidR="00BC1EB4" w:rsidRDefault="65C516B7" w:rsidP="024281B5">
      <w:pPr>
        <w:pStyle w:val="FigureCaption"/>
        <w:spacing w:before="120" w:after="0"/>
        <w:rPr>
          <w:b w:val="0"/>
          <w:bCs w:val="0"/>
          <w:i/>
          <w:iCs/>
          <w:sz w:val="20"/>
          <w:szCs w:val="20"/>
          <w:lang w:eastAsia="zh-CN"/>
        </w:rPr>
      </w:pPr>
      <w:r w:rsidRPr="024281B5">
        <w:rPr>
          <w:b w:val="0"/>
          <w:bCs w:val="0"/>
          <w:i/>
          <w:iCs/>
          <w:sz w:val="20"/>
          <w:szCs w:val="20"/>
        </w:rPr>
        <w:t>Fig.</w:t>
      </w:r>
      <w:r w:rsidR="551A0FF9" w:rsidRPr="024281B5">
        <w:rPr>
          <w:b w:val="0"/>
          <w:bCs w:val="0"/>
          <w:i/>
          <w:iCs/>
          <w:sz w:val="20"/>
          <w:szCs w:val="20"/>
        </w:rPr>
        <w:t>4</w:t>
      </w:r>
      <w:r w:rsidRPr="024281B5">
        <w:rPr>
          <w:b w:val="0"/>
          <w:bCs w:val="0"/>
          <w:i/>
          <w:iCs/>
          <w:sz w:val="20"/>
          <w:szCs w:val="20"/>
        </w:rPr>
        <w:t xml:space="preserve"> – Geometry of the IMBUIA simulated in FLUKA and corresponding constructed shielding components.</w:t>
      </w:r>
    </w:p>
    <w:p w14:paraId="63076E07" w14:textId="0094BFE0" w:rsidR="00BC1EB4" w:rsidRDefault="00BC1EB4" w:rsidP="024281B5">
      <w:pPr>
        <w:spacing w:before="120" w:after="0" w:line="240" w:lineRule="auto"/>
        <w:rPr>
          <w:i/>
          <w:iCs/>
          <w:sz w:val="20"/>
          <w:szCs w:val="20"/>
          <w:lang w:val="en-US"/>
        </w:rPr>
      </w:pPr>
    </w:p>
    <w:p w14:paraId="750C5CD8" w14:textId="73751E3A" w:rsidR="00BC1EB4" w:rsidRDefault="65B58032" w:rsidP="024281B5">
      <w:pPr>
        <w:numPr>
          <w:ilvl w:val="0"/>
          <w:numId w:val="2"/>
        </w:numPr>
        <w:spacing w:after="0" w:line="240" w:lineRule="auto"/>
        <w:ind w:left="357" w:hanging="357"/>
        <w:jc w:val="both"/>
        <w:rPr>
          <w:rFonts w:ascii="Times New Roman" w:hAnsi="Times New Roman"/>
          <w:b/>
          <w:bCs/>
          <w:sz w:val="24"/>
          <w:szCs w:val="24"/>
          <w:lang w:val="en-US"/>
        </w:rPr>
      </w:pPr>
      <w:r w:rsidRPr="024281B5">
        <w:rPr>
          <w:rFonts w:ascii="Times New Roman" w:hAnsi="Times New Roman"/>
          <w:b/>
          <w:bCs/>
          <w:sz w:val="24"/>
          <w:szCs w:val="24"/>
          <w:lang w:val="en-US"/>
        </w:rPr>
        <w:t>SAPÊ Beamline (UV-C)</w:t>
      </w:r>
    </w:p>
    <w:p w14:paraId="0EB7059E" w14:textId="3F26C2F6" w:rsidR="00BC1EB4" w:rsidRDefault="00BC1EB4" w:rsidP="024281B5">
      <w:pPr>
        <w:spacing w:after="0" w:line="240" w:lineRule="auto"/>
        <w:jc w:val="both"/>
        <w:rPr>
          <w:rFonts w:ascii="Times New Roman" w:hAnsi="Times New Roman"/>
          <w:b/>
          <w:bCs/>
          <w:lang w:val="en-US"/>
        </w:rPr>
      </w:pPr>
    </w:p>
    <w:p w14:paraId="497DF99E" w14:textId="2B46E0FA" w:rsidR="00BC1EB4" w:rsidRDefault="4F158C6E" w:rsidP="024281B5">
      <w:pPr>
        <w:spacing w:after="0" w:line="240" w:lineRule="auto"/>
        <w:jc w:val="both"/>
        <w:rPr>
          <w:rFonts w:ascii="Times New Roman" w:hAnsi="Times New Roman"/>
          <w:lang w:val="en-US"/>
        </w:rPr>
      </w:pPr>
      <w:r w:rsidRPr="024281B5">
        <w:rPr>
          <w:rFonts w:ascii="Times New Roman" w:hAnsi="Times New Roman"/>
          <w:lang w:val="en-US"/>
        </w:rPr>
        <w:t xml:space="preserve">The SAPÊ beamline is designed for Angle Resolved Photoemission Spectroscopy (ARPES), utilizing ultraviolet C (UV-C) radiation with energies ranging from 8 to 60 eV to investigate electronic structures at the atomic scale. The beam is extracted from the Sirius storage ring’s low-field bending magnet (B2) and travels through two mirrors within the front-end before exiting the concrete shielding, a configuration </w:t>
      </w:r>
      <w:proofErr w:type="gramStart"/>
      <w:r w:rsidRPr="024281B5">
        <w:rPr>
          <w:rFonts w:ascii="Times New Roman" w:hAnsi="Times New Roman"/>
          <w:lang w:val="en-US"/>
        </w:rPr>
        <w:t>similar to</w:t>
      </w:r>
      <w:proofErr w:type="gramEnd"/>
      <w:r w:rsidRPr="024281B5">
        <w:rPr>
          <w:rFonts w:ascii="Times New Roman" w:hAnsi="Times New Roman"/>
          <w:lang w:val="en-US"/>
        </w:rPr>
        <w:t xml:space="preserve"> other insertion device beamlines.</w:t>
      </w:r>
    </w:p>
    <w:p w14:paraId="17CDB44C" w14:textId="1C260639" w:rsidR="00BC1EB4" w:rsidRDefault="44E7ADE6" w:rsidP="024281B5">
      <w:pPr>
        <w:spacing w:after="0" w:line="240" w:lineRule="auto"/>
        <w:jc w:val="center"/>
        <w:rPr>
          <w:rFonts w:ascii="Times New Roman" w:eastAsia="Times New Roman" w:hAnsi="Times New Roman"/>
          <w:lang w:val="en-US"/>
        </w:rPr>
      </w:pPr>
      <w:r>
        <w:rPr>
          <w:noProof/>
        </w:rPr>
        <w:drawing>
          <wp:inline distT="0" distB="0" distL="0" distR="0" wp14:anchorId="09E940A0" wp14:editId="72A53D1C">
            <wp:extent cx="4392493" cy="1386744"/>
            <wp:effectExtent l="0" t="0" r="0" b="0"/>
            <wp:docPr id="52753895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8486" name=""/>
                    <pic:cNvPicPr/>
                  </pic:nvPicPr>
                  <pic:blipFill>
                    <a:blip r:embed="rId17">
                      <a:extLst>
                        <a:ext uri="{28A0092B-C50C-407E-A947-70E740481C1C}">
                          <a14:useLocalDpi xmlns:a14="http://schemas.microsoft.com/office/drawing/2010/main"/>
                        </a:ext>
                      </a:extLst>
                    </a:blip>
                    <a:stretch>
                      <a:fillRect/>
                    </a:stretch>
                  </pic:blipFill>
                  <pic:spPr>
                    <a:xfrm>
                      <a:off x="0" y="0"/>
                      <a:ext cx="4392493" cy="1386744"/>
                    </a:xfrm>
                    <a:prstGeom prst="rect">
                      <a:avLst/>
                    </a:prstGeom>
                  </pic:spPr>
                </pic:pic>
              </a:graphicData>
            </a:graphic>
          </wp:inline>
        </w:drawing>
      </w:r>
    </w:p>
    <w:p w14:paraId="0F7207EA" w14:textId="11833086" w:rsidR="00BC1EB4" w:rsidRDefault="4F158C6E" w:rsidP="024281B5">
      <w:pPr>
        <w:pStyle w:val="FigureCaption"/>
        <w:spacing w:before="120" w:after="0"/>
        <w:rPr>
          <w:b w:val="0"/>
          <w:bCs w:val="0"/>
          <w:i/>
          <w:iCs/>
          <w:sz w:val="20"/>
          <w:szCs w:val="20"/>
        </w:rPr>
      </w:pPr>
      <w:r w:rsidRPr="024281B5">
        <w:rPr>
          <w:b w:val="0"/>
          <w:bCs w:val="0"/>
          <w:i/>
          <w:iCs/>
          <w:sz w:val="20"/>
          <w:szCs w:val="20"/>
        </w:rPr>
        <w:t>Fig.5 – Schematic overview of the SAPE layout showing mirror positions, extraction path</w:t>
      </w:r>
      <w:r w:rsidR="787F5C9B" w:rsidRPr="024281B5">
        <w:rPr>
          <w:b w:val="0"/>
          <w:bCs w:val="0"/>
          <w:i/>
          <w:iCs/>
          <w:sz w:val="20"/>
          <w:szCs w:val="20"/>
        </w:rPr>
        <w:t xml:space="preserve"> and radiation sources</w:t>
      </w:r>
      <w:r w:rsidRPr="024281B5">
        <w:rPr>
          <w:b w:val="0"/>
          <w:bCs w:val="0"/>
          <w:i/>
          <w:iCs/>
          <w:sz w:val="20"/>
          <w:szCs w:val="20"/>
        </w:rPr>
        <w:t>.</w:t>
      </w:r>
    </w:p>
    <w:p w14:paraId="087436B8" w14:textId="2F049300" w:rsidR="00BC1EB4" w:rsidRDefault="00BC1EB4" w:rsidP="024281B5">
      <w:pPr>
        <w:spacing w:after="0" w:line="240" w:lineRule="auto"/>
        <w:jc w:val="both"/>
        <w:rPr>
          <w:rFonts w:ascii="Times New Roman" w:hAnsi="Times New Roman"/>
          <w:lang w:val="en-US"/>
        </w:rPr>
      </w:pPr>
    </w:p>
    <w:p w14:paraId="518EF7AD" w14:textId="0505A881" w:rsidR="00BC1EB4" w:rsidRDefault="407F05FB" w:rsidP="024281B5">
      <w:pPr>
        <w:spacing w:after="0" w:line="240" w:lineRule="auto"/>
        <w:jc w:val="both"/>
        <w:rPr>
          <w:rFonts w:ascii="Times New Roman" w:hAnsi="Times New Roman"/>
          <w:lang w:val="en-US"/>
        </w:rPr>
      </w:pPr>
      <w:r w:rsidRPr="024281B5">
        <w:rPr>
          <w:rFonts w:ascii="Times New Roman" w:hAnsi="Times New Roman"/>
          <w:lang w:val="en-US"/>
        </w:rPr>
        <w:t xml:space="preserve">This detailed modeling incorporated the tungsten shutter, </w:t>
      </w:r>
      <w:r w:rsidR="4BDBF57C" w:rsidRPr="024281B5">
        <w:rPr>
          <w:rFonts w:ascii="Times New Roman" w:hAnsi="Times New Roman"/>
          <w:lang w:val="en-US"/>
        </w:rPr>
        <w:t>lead</w:t>
      </w:r>
      <w:r w:rsidR="48659F79" w:rsidRPr="024281B5">
        <w:rPr>
          <w:rFonts w:ascii="Times New Roman" w:hAnsi="Times New Roman"/>
          <w:lang w:val="en-US"/>
        </w:rPr>
        <w:t xml:space="preserve"> </w:t>
      </w:r>
      <w:r w:rsidRPr="024281B5">
        <w:rPr>
          <w:rFonts w:ascii="Times New Roman" w:hAnsi="Times New Roman"/>
          <w:lang w:val="en-US"/>
        </w:rPr>
        <w:t>reinforcements, steel wall, layered steel and polyethylene plates, and a lead block positioned to attenuate Gas Bremsstrahlung radiation originating from the straight section aligned with the beamline front-end.</w:t>
      </w:r>
    </w:p>
    <w:p w14:paraId="5BD7AB22" w14:textId="7C301387" w:rsidR="00BC1EB4" w:rsidRDefault="00BC1EB4" w:rsidP="024281B5">
      <w:pPr>
        <w:spacing w:after="0" w:line="240" w:lineRule="auto"/>
        <w:jc w:val="both"/>
        <w:rPr>
          <w:rFonts w:ascii="Times New Roman" w:hAnsi="Times New Roman"/>
          <w:lang w:val="en-US"/>
        </w:rPr>
      </w:pPr>
    </w:p>
    <w:p w14:paraId="0B9BC776" w14:textId="29FA8127" w:rsidR="00BC1EB4" w:rsidRDefault="3CD5615F" w:rsidP="024281B5">
      <w:pPr>
        <w:spacing w:after="0" w:line="240" w:lineRule="auto"/>
        <w:jc w:val="center"/>
      </w:pPr>
      <w:r>
        <w:rPr>
          <w:noProof/>
        </w:rPr>
        <w:drawing>
          <wp:inline distT="0" distB="0" distL="0" distR="0" wp14:anchorId="54796980" wp14:editId="0F0D3590">
            <wp:extent cx="4481038" cy="1791022"/>
            <wp:effectExtent l="0" t="0" r="0" b="0"/>
            <wp:docPr id="133289662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96624" name=""/>
                    <pic:cNvPicPr/>
                  </pic:nvPicPr>
                  <pic:blipFill>
                    <a:blip r:embed="rId18">
                      <a:extLst>
                        <a:ext uri="{28A0092B-C50C-407E-A947-70E740481C1C}">
                          <a14:useLocalDpi xmlns:a14="http://schemas.microsoft.com/office/drawing/2010/main"/>
                        </a:ext>
                      </a:extLst>
                    </a:blip>
                    <a:stretch>
                      <a:fillRect/>
                    </a:stretch>
                  </pic:blipFill>
                  <pic:spPr>
                    <a:xfrm>
                      <a:off x="0" y="0"/>
                      <a:ext cx="4481038" cy="1791022"/>
                    </a:xfrm>
                    <a:prstGeom prst="rect">
                      <a:avLst/>
                    </a:prstGeom>
                  </pic:spPr>
                </pic:pic>
              </a:graphicData>
            </a:graphic>
          </wp:inline>
        </w:drawing>
      </w:r>
    </w:p>
    <w:p w14:paraId="090D8CFB" w14:textId="6F5E0E51" w:rsidR="00BC1EB4" w:rsidRDefault="2DD544E2" w:rsidP="024281B5">
      <w:pPr>
        <w:pStyle w:val="FigureCaption"/>
        <w:spacing w:before="120" w:after="0"/>
        <w:rPr>
          <w:b w:val="0"/>
          <w:bCs w:val="0"/>
          <w:i/>
          <w:iCs/>
          <w:sz w:val="20"/>
          <w:szCs w:val="20"/>
          <w:lang w:eastAsia="zh-CN"/>
        </w:rPr>
      </w:pPr>
      <w:r w:rsidRPr="024281B5">
        <w:rPr>
          <w:b w:val="0"/>
          <w:bCs w:val="0"/>
          <w:i/>
          <w:iCs/>
          <w:sz w:val="20"/>
          <w:szCs w:val="20"/>
        </w:rPr>
        <w:t>Fig.6 – Schematic of the SAPE shielding elements.</w:t>
      </w:r>
    </w:p>
    <w:p w14:paraId="7994A1E1" w14:textId="574F34F1" w:rsidR="00BC1EB4" w:rsidRDefault="00BC1EB4" w:rsidP="024281B5">
      <w:pPr>
        <w:spacing w:after="0" w:line="240" w:lineRule="auto"/>
        <w:jc w:val="both"/>
        <w:rPr>
          <w:rFonts w:ascii="Times New Roman" w:hAnsi="Times New Roman"/>
          <w:lang w:val="en-US"/>
        </w:rPr>
      </w:pPr>
    </w:p>
    <w:p w14:paraId="0E6B42B5" w14:textId="4AABDD06" w:rsidR="00BC1EB4" w:rsidRDefault="0C5940CE" w:rsidP="024281B5">
      <w:pPr>
        <w:spacing w:after="0" w:line="240" w:lineRule="auto"/>
        <w:jc w:val="both"/>
        <w:rPr>
          <w:rFonts w:ascii="Times New Roman" w:hAnsi="Times New Roman"/>
          <w:lang w:val="en-US"/>
        </w:rPr>
      </w:pPr>
      <w:r w:rsidRPr="024281B5">
        <w:rPr>
          <w:rFonts w:ascii="Times New Roman" w:hAnsi="Times New Roman"/>
          <w:lang w:val="en-US"/>
        </w:rPr>
        <w:t xml:space="preserve">The internal front-end simulations, depicted in the dose distribution maps of Figure </w:t>
      </w:r>
      <w:r w:rsidR="1D4AD8F0" w:rsidRPr="024281B5">
        <w:rPr>
          <w:rFonts w:ascii="Times New Roman" w:hAnsi="Times New Roman"/>
          <w:lang w:val="en-US"/>
        </w:rPr>
        <w:t>7</w:t>
      </w:r>
      <w:r w:rsidRPr="024281B5">
        <w:rPr>
          <w:rFonts w:ascii="Times New Roman" w:hAnsi="Times New Roman"/>
          <w:lang w:val="en-US"/>
        </w:rPr>
        <w:t>, were crucial in optimizing the dimensions and locations of the tungsten shutter and various shielding plates. The tungsten shutter was carefully dimensioned to effectively limit both direct beam exposure and scattered radiation into the front-end while ensuring operational maneuverability.</w:t>
      </w:r>
    </w:p>
    <w:p w14:paraId="44EBC81A" w14:textId="7A106F09" w:rsidR="00BC1EB4" w:rsidRDefault="00BC1EB4" w:rsidP="024281B5">
      <w:pPr>
        <w:spacing w:after="0" w:line="240" w:lineRule="auto"/>
        <w:jc w:val="both"/>
        <w:rPr>
          <w:rFonts w:ascii="Times New Roman" w:hAnsi="Times New Roman"/>
          <w:lang w:val="en-US"/>
        </w:rPr>
      </w:pPr>
    </w:p>
    <w:p w14:paraId="61313348" w14:textId="1AE31E8C" w:rsidR="00BC1EB4" w:rsidRDefault="1A0369F3" w:rsidP="024281B5">
      <w:pPr>
        <w:spacing w:after="0" w:line="240" w:lineRule="auto"/>
        <w:jc w:val="both"/>
        <w:rPr>
          <w:rFonts w:ascii="Times New Roman" w:eastAsia="Times New Roman" w:hAnsi="Times New Roman"/>
          <w:lang w:val="en-US"/>
        </w:rPr>
      </w:pPr>
      <w:r>
        <w:rPr>
          <w:noProof/>
        </w:rPr>
        <w:drawing>
          <wp:inline distT="0" distB="0" distL="0" distR="0" wp14:anchorId="25C360B1" wp14:editId="18523EF7">
            <wp:extent cx="2913449" cy="1519792"/>
            <wp:effectExtent l="0" t="0" r="0" b="0"/>
            <wp:docPr id="32060324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03246" name=""/>
                    <pic:cNvPicPr/>
                  </pic:nvPicPr>
                  <pic:blipFill>
                    <a:blip r:embed="rId19">
                      <a:extLst>
                        <a:ext uri="{28A0092B-C50C-407E-A947-70E740481C1C}">
                          <a14:useLocalDpi xmlns:a14="http://schemas.microsoft.com/office/drawing/2010/main"/>
                        </a:ext>
                      </a:extLst>
                    </a:blip>
                    <a:stretch>
                      <a:fillRect/>
                    </a:stretch>
                  </pic:blipFill>
                  <pic:spPr>
                    <a:xfrm>
                      <a:off x="0" y="0"/>
                      <a:ext cx="2913449" cy="1519792"/>
                    </a:xfrm>
                    <a:prstGeom prst="rect">
                      <a:avLst/>
                    </a:prstGeom>
                  </pic:spPr>
                </pic:pic>
              </a:graphicData>
            </a:graphic>
          </wp:inline>
        </w:drawing>
      </w:r>
      <w:r>
        <w:rPr>
          <w:noProof/>
        </w:rPr>
        <w:drawing>
          <wp:inline distT="0" distB="0" distL="0" distR="0" wp14:anchorId="3B28C528" wp14:editId="2A41652E">
            <wp:extent cx="2900143" cy="1518547"/>
            <wp:effectExtent l="0" t="0" r="0" b="0"/>
            <wp:docPr id="180798990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89908" name=""/>
                    <pic:cNvPicPr/>
                  </pic:nvPicPr>
                  <pic:blipFill>
                    <a:blip r:embed="rId20">
                      <a:extLst>
                        <a:ext uri="{28A0092B-C50C-407E-A947-70E740481C1C}">
                          <a14:useLocalDpi xmlns:a14="http://schemas.microsoft.com/office/drawing/2010/main"/>
                        </a:ext>
                      </a:extLst>
                    </a:blip>
                    <a:stretch>
                      <a:fillRect/>
                    </a:stretch>
                  </pic:blipFill>
                  <pic:spPr>
                    <a:xfrm>
                      <a:off x="0" y="0"/>
                      <a:ext cx="2900143" cy="1518547"/>
                    </a:xfrm>
                    <a:prstGeom prst="rect">
                      <a:avLst/>
                    </a:prstGeom>
                  </pic:spPr>
                </pic:pic>
              </a:graphicData>
            </a:graphic>
          </wp:inline>
        </w:drawing>
      </w:r>
    </w:p>
    <w:p w14:paraId="294B4167" w14:textId="4252ABD5" w:rsidR="00BC1EB4" w:rsidRDefault="1A0369F3" w:rsidP="024281B5">
      <w:pPr>
        <w:pStyle w:val="FigureCaption"/>
        <w:spacing w:before="120" w:after="0"/>
        <w:rPr>
          <w:b w:val="0"/>
          <w:bCs w:val="0"/>
          <w:i/>
          <w:iCs/>
          <w:sz w:val="20"/>
          <w:szCs w:val="20"/>
          <w:lang w:eastAsia="zh-CN"/>
        </w:rPr>
      </w:pPr>
      <w:r w:rsidRPr="024281B5">
        <w:rPr>
          <w:b w:val="0"/>
          <w:bCs w:val="0"/>
          <w:i/>
          <w:iCs/>
          <w:sz w:val="20"/>
          <w:szCs w:val="20"/>
        </w:rPr>
        <w:t xml:space="preserve">(a) Electron Losses – Closed Shutter    </w:t>
      </w:r>
      <w:r w:rsidR="546FF27D" w:rsidRPr="024281B5">
        <w:rPr>
          <w:b w:val="0"/>
          <w:bCs w:val="0"/>
          <w:i/>
          <w:iCs/>
          <w:sz w:val="20"/>
          <w:szCs w:val="20"/>
        </w:rPr>
        <w:t xml:space="preserve">              </w:t>
      </w:r>
      <w:proofErr w:type="gramStart"/>
      <w:r w:rsidR="546FF27D" w:rsidRPr="024281B5">
        <w:rPr>
          <w:b w:val="0"/>
          <w:bCs w:val="0"/>
          <w:i/>
          <w:iCs/>
          <w:sz w:val="20"/>
          <w:szCs w:val="20"/>
        </w:rPr>
        <w:t xml:space="preserve">   </w:t>
      </w:r>
      <w:r w:rsidRPr="024281B5">
        <w:rPr>
          <w:b w:val="0"/>
          <w:bCs w:val="0"/>
          <w:i/>
          <w:iCs/>
          <w:sz w:val="20"/>
          <w:szCs w:val="20"/>
        </w:rPr>
        <w:t>(</w:t>
      </w:r>
      <w:proofErr w:type="gramEnd"/>
      <w:r w:rsidRPr="024281B5">
        <w:rPr>
          <w:b w:val="0"/>
          <w:bCs w:val="0"/>
          <w:i/>
          <w:iCs/>
          <w:sz w:val="20"/>
          <w:szCs w:val="20"/>
        </w:rPr>
        <w:t xml:space="preserve">b) Synchrotron Scattering - </w:t>
      </w:r>
      <w:r w:rsidR="67671577" w:rsidRPr="024281B5">
        <w:rPr>
          <w:b w:val="0"/>
          <w:bCs w:val="0"/>
          <w:i/>
          <w:iCs/>
          <w:sz w:val="20"/>
          <w:szCs w:val="20"/>
        </w:rPr>
        <w:t xml:space="preserve">Closed </w:t>
      </w:r>
      <w:r w:rsidRPr="024281B5">
        <w:rPr>
          <w:b w:val="0"/>
          <w:bCs w:val="0"/>
          <w:i/>
          <w:iCs/>
          <w:sz w:val="20"/>
          <w:szCs w:val="20"/>
        </w:rPr>
        <w:t>Shutter</w:t>
      </w:r>
    </w:p>
    <w:p w14:paraId="13EFF6D6" w14:textId="3BE8B978" w:rsidR="00BC1EB4" w:rsidRDefault="497B4394" w:rsidP="024281B5">
      <w:pPr>
        <w:pStyle w:val="FigureCaption"/>
        <w:spacing w:before="120" w:after="0"/>
      </w:pPr>
      <w:r>
        <w:rPr>
          <w:noProof/>
        </w:rPr>
        <w:drawing>
          <wp:inline distT="0" distB="0" distL="0" distR="0" wp14:anchorId="50D63F63" wp14:editId="02A6D649">
            <wp:extent cx="2908605" cy="1508576"/>
            <wp:effectExtent l="0" t="0" r="0" b="0"/>
            <wp:docPr id="4913247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32472" name=""/>
                    <pic:cNvPicPr/>
                  </pic:nvPicPr>
                  <pic:blipFill>
                    <a:blip r:embed="rId21">
                      <a:extLst>
                        <a:ext uri="{28A0092B-C50C-407E-A947-70E740481C1C}">
                          <a14:useLocalDpi xmlns:a14="http://schemas.microsoft.com/office/drawing/2010/main"/>
                        </a:ext>
                      </a:extLst>
                    </a:blip>
                    <a:stretch>
                      <a:fillRect/>
                    </a:stretch>
                  </pic:blipFill>
                  <pic:spPr>
                    <a:xfrm>
                      <a:off x="0" y="0"/>
                      <a:ext cx="2908605" cy="1508576"/>
                    </a:xfrm>
                    <a:prstGeom prst="rect">
                      <a:avLst/>
                    </a:prstGeom>
                  </pic:spPr>
                </pic:pic>
              </a:graphicData>
            </a:graphic>
          </wp:inline>
        </w:drawing>
      </w:r>
      <w:r>
        <w:rPr>
          <w:noProof/>
        </w:rPr>
        <w:drawing>
          <wp:inline distT="0" distB="0" distL="0" distR="0" wp14:anchorId="26836AFE" wp14:editId="31CA1CC5">
            <wp:extent cx="2910313" cy="1478910"/>
            <wp:effectExtent l="0" t="0" r="0" b="0"/>
            <wp:docPr id="54539359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393599" name=""/>
                    <pic:cNvPicPr/>
                  </pic:nvPicPr>
                  <pic:blipFill>
                    <a:blip r:embed="rId22">
                      <a:extLst>
                        <a:ext uri="{28A0092B-C50C-407E-A947-70E740481C1C}">
                          <a14:useLocalDpi xmlns:a14="http://schemas.microsoft.com/office/drawing/2010/main"/>
                        </a:ext>
                      </a:extLst>
                    </a:blip>
                    <a:stretch>
                      <a:fillRect/>
                    </a:stretch>
                  </pic:blipFill>
                  <pic:spPr>
                    <a:xfrm>
                      <a:off x="0" y="0"/>
                      <a:ext cx="2910313" cy="1478910"/>
                    </a:xfrm>
                    <a:prstGeom prst="rect">
                      <a:avLst/>
                    </a:prstGeom>
                  </pic:spPr>
                </pic:pic>
              </a:graphicData>
            </a:graphic>
          </wp:inline>
        </w:drawing>
      </w:r>
    </w:p>
    <w:p w14:paraId="009787BE" w14:textId="328C18C1" w:rsidR="00BC1EB4" w:rsidRDefault="497B4394" w:rsidP="024281B5">
      <w:pPr>
        <w:pStyle w:val="FigureCaption"/>
        <w:spacing w:before="120" w:after="0"/>
        <w:rPr>
          <w:b w:val="0"/>
          <w:bCs w:val="0"/>
          <w:i/>
          <w:iCs/>
          <w:sz w:val="20"/>
          <w:szCs w:val="20"/>
          <w:lang w:eastAsia="zh-CN"/>
        </w:rPr>
      </w:pPr>
      <w:r w:rsidRPr="024281B5">
        <w:rPr>
          <w:b w:val="0"/>
          <w:bCs w:val="0"/>
          <w:i/>
          <w:iCs/>
          <w:sz w:val="20"/>
          <w:szCs w:val="20"/>
        </w:rPr>
        <w:t>(</w:t>
      </w:r>
      <w:r w:rsidR="4DD99973" w:rsidRPr="024281B5">
        <w:rPr>
          <w:b w:val="0"/>
          <w:bCs w:val="0"/>
          <w:i/>
          <w:iCs/>
          <w:sz w:val="20"/>
          <w:szCs w:val="20"/>
        </w:rPr>
        <w:t>c</w:t>
      </w:r>
      <w:r w:rsidRPr="024281B5">
        <w:rPr>
          <w:b w:val="0"/>
          <w:bCs w:val="0"/>
          <w:i/>
          <w:iCs/>
          <w:sz w:val="20"/>
          <w:szCs w:val="20"/>
        </w:rPr>
        <w:t xml:space="preserve">) Electron Losses – Opened Shutter                  </w:t>
      </w:r>
      <w:proofErr w:type="gramStart"/>
      <w:r w:rsidRPr="024281B5">
        <w:rPr>
          <w:b w:val="0"/>
          <w:bCs w:val="0"/>
          <w:i/>
          <w:iCs/>
          <w:sz w:val="20"/>
          <w:szCs w:val="20"/>
        </w:rPr>
        <w:t xml:space="preserve">   (</w:t>
      </w:r>
      <w:proofErr w:type="gramEnd"/>
      <w:r w:rsidR="7B8D89D3" w:rsidRPr="024281B5">
        <w:rPr>
          <w:b w:val="0"/>
          <w:bCs w:val="0"/>
          <w:i/>
          <w:iCs/>
          <w:sz w:val="20"/>
          <w:szCs w:val="20"/>
        </w:rPr>
        <w:t>d</w:t>
      </w:r>
      <w:r w:rsidRPr="024281B5">
        <w:rPr>
          <w:b w:val="0"/>
          <w:bCs w:val="0"/>
          <w:i/>
          <w:iCs/>
          <w:sz w:val="20"/>
          <w:szCs w:val="20"/>
        </w:rPr>
        <w:t>) Synchrotron Scattering - Opened Shutter</w:t>
      </w:r>
    </w:p>
    <w:p w14:paraId="3B4E6B58" w14:textId="3D63E05D" w:rsidR="00BC1EB4" w:rsidRDefault="242F8D59" w:rsidP="024281B5">
      <w:pPr>
        <w:pStyle w:val="FigureCaption"/>
        <w:spacing w:before="120" w:after="0"/>
      </w:pPr>
      <w:r>
        <w:rPr>
          <w:noProof/>
        </w:rPr>
        <w:drawing>
          <wp:inline distT="0" distB="0" distL="0" distR="0" wp14:anchorId="02F93C13" wp14:editId="5257B6D4">
            <wp:extent cx="2760814" cy="1511706"/>
            <wp:effectExtent l="0" t="0" r="0" b="0"/>
            <wp:docPr id="5326320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32026" name=""/>
                    <pic:cNvPicPr/>
                  </pic:nvPicPr>
                  <pic:blipFill>
                    <a:blip r:embed="rId23">
                      <a:extLst>
                        <a:ext uri="{28A0092B-C50C-407E-A947-70E740481C1C}">
                          <a14:useLocalDpi xmlns:a14="http://schemas.microsoft.com/office/drawing/2010/main"/>
                        </a:ext>
                      </a:extLst>
                    </a:blip>
                    <a:stretch>
                      <a:fillRect/>
                    </a:stretch>
                  </pic:blipFill>
                  <pic:spPr>
                    <a:xfrm>
                      <a:off x="0" y="0"/>
                      <a:ext cx="2760814" cy="1511706"/>
                    </a:xfrm>
                    <a:prstGeom prst="rect">
                      <a:avLst/>
                    </a:prstGeom>
                  </pic:spPr>
                </pic:pic>
              </a:graphicData>
            </a:graphic>
          </wp:inline>
        </w:drawing>
      </w:r>
    </w:p>
    <w:p w14:paraId="2EAC0DAA" w14:textId="38C38F0D" w:rsidR="00BC1EB4" w:rsidRDefault="242F8D59" w:rsidP="024281B5">
      <w:pPr>
        <w:pStyle w:val="FigureCaption"/>
        <w:spacing w:before="120" w:after="0"/>
        <w:rPr>
          <w:b w:val="0"/>
          <w:bCs w:val="0"/>
          <w:i/>
          <w:iCs/>
          <w:sz w:val="20"/>
          <w:szCs w:val="20"/>
          <w:lang w:eastAsia="zh-CN"/>
        </w:rPr>
      </w:pPr>
      <w:r w:rsidRPr="024281B5">
        <w:rPr>
          <w:b w:val="0"/>
          <w:bCs w:val="0"/>
          <w:i/>
          <w:iCs/>
          <w:sz w:val="20"/>
          <w:szCs w:val="20"/>
        </w:rPr>
        <w:t>(e) Gas Bremsstrahlung</w:t>
      </w:r>
    </w:p>
    <w:p w14:paraId="78C57CD8" w14:textId="10F49ED5" w:rsidR="00BC1EB4" w:rsidRDefault="0C5940CE" w:rsidP="024281B5">
      <w:pPr>
        <w:pStyle w:val="FigureCaption"/>
        <w:spacing w:before="120" w:after="0"/>
        <w:rPr>
          <w:b w:val="0"/>
          <w:bCs w:val="0"/>
          <w:i/>
          <w:iCs/>
          <w:sz w:val="20"/>
          <w:szCs w:val="20"/>
          <w:lang w:eastAsia="zh-CN"/>
        </w:rPr>
      </w:pPr>
      <w:r w:rsidRPr="024281B5">
        <w:rPr>
          <w:b w:val="0"/>
          <w:bCs w:val="0"/>
          <w:i/>
          <w:iCs/>
          <w:sz w:val="20"/>
          <w:szCs w:val="20"/>
        </w:rPr>
        <w:lastRenderedPageBreak/>
        <w:t>Fig.</w:t>
      </w:r>
      <w:r w:rsidR="421408A2" w:rsidRPr="024281B5">
        <w:rPr>
          <w:b w:val="0"/>
          <w:bCs w:val="0"/>
          <w:i/>
          <w:iCs/>
          <w:sz w:val="20"/>
          <w:szCs w:val="20"/>
        </w:rPr>
        <w:t>7</w:t>
      </w:r>
      <w:r w:rsidRPr="024281B5">
        <w:rPr>
          <w:b w:val="0"/>
          <w:bCs w:val="0"/>
          <w:i/>
          <w:iCs/>
          <w:sz w:val="20"/>
          <w:szCs w:val="20"/>
        </w:rPr>
        <w:t xml:space="preserve"> – Dose distribution maps from internal front-end radiation simulations.</w:t>
      </w:r>
    </w:p>
    <w:p w14:paraId="328400CE" w14:textId="4FE10D41" w:rsidR="00BC1EB4" w:rsidRDefault="00BC1EB4" w:rsidP="024281B5">
      <w:pPr>
        <w:spacing w:after="0" w:line="240" w:lineRule="auto"/>
        <w:jc w:val="both"/>
        <w:rPr>
          <w:rFonts w:ascii="Times New Roman" w:hAnsi="Times New Roman"/>
          <w:lang w:val="en-US"/>
        </w:rPr>
      </w:pPr>
    </w:p>
    <w:p w14:paraId="4E02257F" w14:textId="695BAA37" w:rsidR="00BC1EB4" w:rsidRDefault="0C5940CE" w:rsidP="024281B5">
      <w:pPr>
        <w:spacing w:after="0" w:line="240" w:lineRule="auto"/>
        <w:jc w:val="both"/>
        <w:rPr>
          <w:rFonts w:ascii="Times New Roman" w:hAnsi="Times New Roman"/>
          <w:lang w:val="en-US"/>
        </w:rPr>
      </w:pPr>
      <w:r w:rsidRPr="024281B5">
        <w:rPr>
          <w:rFonts w:ascii="Times New Roman" w:hAnsi="Times New Roman"/>
          <w:lang w:val="en-US"/>
        </w:rPr>
        <w:t>The external shielding elements, modeled in subsequent simulations shown in Figure 3, consist primarily of a 40 mm thick steel wall with a 102 mm diameter aperture aligned to the beam path. This wall, supplemented by layers of steel and polyethylene plates, was optimized to minimize scattered radiation penetrating beyond the concrete wall and to comply with dose limits. Additionally, a lead block was installed immediately outside the front-end exit to reduce the dose originating from Gas Bremsstrahlung radiation transported along the beamline axis.</w:t>
      </w:r>
    </w:p>
    <w:p w14:paraId="6B66F1C1" w14:textId="5B37C15F" w:rsidR="00BC1EB4" w:rsidRDefault="1D1C7640" w:rsidP="024281B5">
      <w:pPr>
        <w:spacing w:after="0" w:line="240" w:lineRule="auto"/>
        <w:jc w:val="both"/>
        <w:rPr>
          <w:rFonts w:ascii="Times New Roman" w:hAnsi="Times New Roman"/>
          <w:lang w:val="en-US"/>
        </w:rPr>
      </w:pPr>
      <w:r w:rsidRPr="024281B5">
        <w:rPr>
          <w:rFonts w:ascii="Times New Roman" w:hAnsi="Times New Roman"/>
          <w:lang w:val="en-US"/>
        </w:rPr>
        <w:t>Successive adjustments informed by the comparison between simulation outcomes and shielding design decisions directed the final engineering plans and installation process, ensuring that radiation levels outside the shielding consistently comply with regulatory standards.</w:t>
      </w:r>
    </w:p>
    <w:p w14:paraId="24F841DB" w14:textId="1F31DE0B" w:rsidR="00BC1EB4" w:rsidRDefault="0C5940CE" w:rsidP="024281B5">
      <w:pPr>
        <w:spacing w:after="0" w:line="240" w:lineRule="auto"/>
        <w:jc w:val="both"/>
        <w:rPr>
          <w:rFonts w:ascii="Times New Roman" w:hAnsi="Times New Roman"/>
          <w:lang w:val="en-US"/>
        </w:rPr>
      </w:pPr>
      <w:r w:rsidRPr="024281B5">
        <w:rPr>
          <w:rFonts w:ascii="Times New Roman" w:hAnsi="Times New Roman"/>
          <w:lang w:val="en-US"/>
        </w:rPr>
        <w:t xml:space="preserve"> </w:t>
      </w:r>
    </w:p>
    <w:p w14:paraId="40130120" w14:textId="063BB475" w:rsidR="00BC1EB4" w:rsidRDefault="00BC1EB4" w:rsidP="024281B5">
      <w:pPr>
        <w:spacing w:after="0" w:line="240" w:lineRule="auto"/>
        <w:jc w:val="both"/>
        <w:rPr>
          <w:rFonts w:ascii="Times New Roman" w:hAnsi="Times New Roman"/>
          <w:b/>
          <w:bCs/>
          <w:lang w:val="en-US"/>
        </w:rPr>
      </w:pPr>
    </w:p>
    <w:p w14:paraId="447F03C5" w14:textId="4E9333CF" w:rsidR="00BC1EB4" w:rsidRDefault="55482092" w:rsidP="024281B5">
      <w:pPr>
        <w:numPr>
          <w:ilvl w:val="0"/>
          <w:numId w:val="2"/>
        </w:numPr>
        <w:spacing w:after="0" w:line="240" w:lineRule="auto"/>
        <w:ind w:left="357" w:hanging="357"/>
        <w:jc w:val="both"/>
        <w:rPr>
          <w:rFonts w:ascii="Times New Roman" w:hAnsi="Times New Roman"/>
          <w:b/>
          <w:bCs/>
          <w:lang w:val="en-US"/>
        </w:rPr>
      </w:pPr>
      <w:r w:rsidRPr="024281B5">
        <w:rPr>
          <w:rFonts w:ascii="Times New Roman" w:hAnsi="Times New Roman"/>
          <w:b/>
          <w:bCs/>
          <w:lang w:val="en-US"/>
        </w:rPr>
        <w:t>CARCARÁ Beamline (Visible + 11 keV X-Ray)</w:t>
      </w:r>
    </w:p>
    <w:p w14:paraId="7C43F32C" w14:textId="116C4B54" w:rsidR="00BC1EB4" w:rsidRDefault="00BC1EB4" w:rsidP="024281B5">
      <w:pPr>
        <w:spacing w:after="0" w:line="240" w:lineRule="auto"/>
        <w:jc w:val="both"/>
        <w:rPr>
          <w:rFonts w:ascii="Times New Roman" w:hAnsi="Times New Roman"/>
          <w:b/>
          <w:bCs/>
          <w:lang w:val="en-US"/>
        </w:rPr>
      </w:pPr>
    </w:p>
    <w:p w14:paraId="6F3F5AA0" w14:textId="245C4925" w:rsidR="00BC1EB4" w:rsidRDefault="7542E412" w:rsidP="024281B5">
      <w:pPr>
        <w:spacing w:after="0" w:line="240" w:lineRule="auto"/>
        <w:jc w:val="both"/>
        <w:rPr>
          <w:rFonts w:ascii="Times New Roman" w:hAnsi="Times New Roman"/>
          <w:lang w:val="en-US"/>
        </w:rPr>
      </w:pPr>
      <w:r w:rsidRPr="024281B5">
        <w:rPr>
          <w:rFonts w:ascii="Times New Roman" w:hAnsi="Times New Roman"/>
          <w:lang w:val="en-US"/>
        </w:rPr>
        <w:t>The CARCARÁ beamline at Sirius serves as an advanced diagnostic tool for the electron beam, utilizing two distinct branches to characterize different aspects of the beam. The CARCARÁ-X branch focuses on electron beam emittance measurement by forming high-resolution 11 keV x-ray images through a system composed of a toroidal multilayer mirror, a Bragg crystal magnifier, and a detector. The CARCARÁ-V branch extracts visible light at 90º laterally from the B1 dipole magnet for temporal beam characterization via a streak camera.</w:t>
      </w:r>
    </w:p>
    <w:p w14:paraId="3C093C38" w14:textId="3F4B32E6" w:rsidR="00BC1EB4" w:rsidRDefault="028A2C3C" w:rsidP="024281B5">
      <w:pPr>
        <w:spacing w:after="0" w:line="240" w:lineRule="auto"/>
        <w:jc w:val="center"/>
        <w:rPr>
          <w:rFonts w:ascii="Times New Roman" w:eastAsia="Times New Roman" w:hAnsi="Times New Roman"/>
          <w:lang w:val="en-US"/>
        </w:rPr>
      </w:pPr>
      <w:r>
        <w:rPr>
          <w:noProof/>
        </w:rPr>
        <w:drawing>
          <wp:inline distT="0" distB="0" distL="0" distR="0" wp14:anchorId="4681EE6F" wp14:editId="514B42CE">
            <wp:extent cx="3834556" cy="2178354"/>
            <wp:effectExtent l="0" t="0" r="0" b="0"/>
            <wp:docPr id="182478608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86083" name=""/>
                    <pic:cNvPicPr/>
                  </pic:nvPicPr>
                  <pic:blipFill>
                    <a:blip r:embed="rId24">
                      <a:extLst>
                        <a:ext uri="{28A0092B-C50C-407E-A947-70E740481C1C}">
                          <a14:useLocalDpi xmlns:a14="http://schemas.microsoft.com/office/drawing/2010/main"/>
                        </a:ext>
                      </a:extLst>
                    </a:blip>
                    <a:stretch>
                      <a:fillRect/>
                    </a:stretch>
                  </pic:blipFill>
                  <pic:spPr>
                    <a:xfrm>
                      <a:off x="0" y="0"/>
                      <a:ext cx="3834556" cy="2178354"/>
                    </a:xfrm>
                    <a:prstGeom prst="rect">
                      <a:avLst/>
                    </a:prstGeom>
                  </pic:spPr>
                </pic:pic>
              </a:graphicData>
            </a:graphic>
          </wp:inline>
        </w:drawing>
      </w:r>
    </w:p>
    <w:p w14:paraId="12664D54" w14:textId="72B32353" w:rsidR="00BC1EB4" w:rsidRDefault="54A01126" w:rsidP="024281B5">
      <w:pPr>
        <w:pStyle w:val="FigureCaption"/>
        <w:spacing w:before="120" w:after="0"/>
        <w:rPr>
          <w:b w:val="0"/>
          <w:bCs w:val="0"/>
          <w:i/>
          <w:iCs/>
          <w:sz w:val="20"/>
          <w:szCs w:val="20"/>
        </w:rPr>
      </w:pPr>
      <w:r w:rsidRPr="024281B5">
        <w:rPr>
          <w:b w:val="0"/>
          <w:bCs w:val="0"/>
          <w:i/>
          <w:iCs/>
          <w:sz w:val="20"/>
          <w:szCs w:val="20"/>
        </w:rPr>
        <w:t>Fig.8 – Schematic overview of the CARCAR</w:t>
      </w:r>
      <w:r w:rsidR="39B419FD" w:rsidRPr="024281B5">
        <w:rPr>
          <w:b w:val="0"/>
          <w:bCs w:val="0"/>
          <w:i/>
          <w:iCs/>
          <w:sz w:val="20"/>
          <w:szCs w:val="20"/>
        </w:rPr>
        <w:t>A</w:t>
      </w:r>
      <w:r w:rsidRPr="024281B5">
        <w:rPr>
          <w:b w:val="0"/>
          <w:bCs w:val="0"/>
          <w:i/>
          <w:iCs/>
          <w:sz w:val="20"/>
          <w:szCs w:val="20"/>
        </w:rPr>
        <w:t xml:space="preserve"> </w:t>
      </w:r>
      <w:r w:rsidR="5C788B76" w:rsidRPr="024281B5">
        <w:rPr>
          <w:b w:val="0"/>
          <w:bCs w:val="0"/>
          <w:i/>
          <w:iCs/>
          <w:sz w:val="20"/>
          <w:szCs w:val="20"/>
        </w:rPr>
        <w:t xml:space="preserve">frontend </w:t>
      </w:r>
      <w:r w:rsidRPr="024281B5">
        <w:rPr>
          <w:b w:val="0"/>
          <w:bCs w:val="0"/>
          <w:i/>
          <w:iCs/>
          <w:sz w:val="20"/>
          <w:szCs w:val="20"/>
        </w:rPr>
        <w:t>layout.</w:t>
      </w:r>
    </w:p>
    <w:p w14:paraId="39AF536A" w14:textId="1FE01DB0" w:rsidR="00BC1EB4" w:rsidRDefault="00BC1EB4" w:rsidP="024281B5">
      <w:pPr>
        <w:spacing w:after="0" w:line="240" w:lineRule="auto"/>
        <w:jc w:val="both"/>
        <w:rPr>
          <w:rFonts w:ascii="Times New Roman" w:hAnsi="Times New Roman"/>
          <w:lang w:val="en-US"/>
        </w:rPr>
      </w:pPr>
    </w:p>
    <w:p w14:paraId="2000E92A" w14:textId="0269EBE9" w:rsidR="00BC1EB4" w:rsidRDefault="594AC839" w:rsidP="024281B5">
      <w:pPr>
        <w:spacing w:after="0" w:line="240" w:lineRule="auto"/>
        <w:jc w:val="both"/>
        <w:rPr>
          <w:rFonts w:ascii="Times New Roman" w:hAnsi="Times New Roman"/>
          <w:lang w:val="en-US"/>
        </w:rPr>
      </w:pPr>
      <w:r w:rsidRPr="024281B5">
        <w:rPr>
          <w:rFonts w:ascii="Times New Roman" w:hAnsi="Times New Roman"/>
          <w:lang w:val="en-US"/>
        </w:rPr>
        <w:t>Radiation sources relevant to shielding design include electron losses concentrated at the scrapers, synchrotron photon scattering within the machine, and Gas Bremsstrahlung emitted by electrons interacting with residual gas atoms inside the vacuum chamber. The electron loss scenarios were derived from data provided by the accelerator physics group, spanning different scraper aperture settings for machine studies and normal operation.</w:t>
      </w:r>
    </w:p>
    <w:p w14:paraId="7E2C0E6C" w14:textId="04BA829C" w:rsidR="00BC1EB4" w:rsidRDefault="3AD1550B" w:rsidP="024281B5">
      <w:pPr>
        <w:spacing w:after="0" w:line="240" w:lineRule="auto"/>
        <w:jc w:val="both"/>
        <w:rPr>
          <w:rFonts w:ascii="Times New Roman" w:hAnsi="Times New Roman"/>
          <w:lang w:val="en-US"/>
        </w:rPr>
      </w:pPr>
      <w:r w:rsidRPr="024281B5">
        <w:rPr>
          <w:rFonts w:ascii="Times New Roman" w:hAnsi="Times New Roman"/>
          <w:lang w:val="en-US"/>
        </w:rPr>
        <w:t>The shielding elements include copper and tungsten masks, photon shutters, lead walls, and absorbers specifically dimensioned to mitigate scattered photons and secondary radiation from electron losses and synchrotron sources. Simulation-driven optimization identified minimum thickness requirements for elements.</w:t>
      </w:r>
    </w:p>
    <w:p w14:paraId="1CCE7BF5" w14:textId="2D1F0236" w:rsidR="00BC1EB4" w:rsidRDefault="594AC839" w:rsidP="024281B5">
      <w:pPr>
        <w:spacing w:after="0" w:line="240" w:lineRule="auto"/>
        <w:jc w:val="both"/>
        <w:rPr>
          <w:rFonts w:ascii="Times New Roman" w:hAnsi="Times New Roman"/>
          <w:lang w:val="en-US"/>
        </w:rPr>
      </w:pPr>
      <w:r w:rsidRPr="024281B5">
        <w:rPr>
          <w:rFonts w:ascii="Times New Roman" w:hAnsi="Times New Roman"/>
          <w:lang w:val="en-US"/>
        </w:rPr>
        <w:t xml:space="preserve">Dose maps (Figure </w:t>
      </w:r>
      <w:r w:rsidR="05A4715C" w:rsidRPr="024281B5">
        <w:rPr>
          <w:rFonts w:ascii="Times New Roman" w:hAnsi="Times New Roman"/>
          <w:lang w:val="en-US"/>
        </w:rPr>
        <w:t>9</w:t>
      </w:r>
      <w:r w:rsidRPr="024281B5">
        <w:rPr>
          <w:rFonts w:ascii="Times New Roman" w:hAnsi="Times New Roman"/>
          <w:lang w:val="en-US"/>
        </w:rPr>
        <w:t>) for electron losses impacting both inboard and outboard scraper blades show that attenuation provided by the front-end elements reduces dose rates outside the concrete shielding below the regulatory limit in the experimental hall.</w:t>
      </w:r>
      <w:r w:rsidR="4C74A08D" w:rsidRPr="024281B5">
        <w:rPr>
          <w:rFonts w:ascii="Times New Roman" w:hAnsi="Times New Roman"/>
          <w:lang w:val="en-US"/>
        </w:rPr>
        <w:t xml:space="preserve"> </w:t>
      </w:r>
    </w:p>
    <w:p w14:paraId="6044D3B4" w14:textId="7AABD66C" w:rsidR="00BC1EB4" w:rsidRDefault="00BC1EB4" w:rsidP="024281B5">
      <w:pPr>
        <w:spacing w:after="0" w:line="240" w:lineRule="auto"/>
        <w:jc w:val="both"/>
        <w:rPr>
          <w:rFonts w:ascii="Times New Roman" w:hAnsi="Times New Roman"/>
          <w:lang w:val="en-US"/>
        </w:rPr>
      </w:pPr>
    </w:p>
    <w:p w14:paraId="4CEF592F" w14:textId="07383E56" w:rsidR="00BC1EB4" w:rsidRDefault="7E29CA3D" w:rsidP="024281B5">
      <w:pPr>
        <w:spacing w:after="0" w:line="240" w:lineRule="auto"/>
        <w:jc w:val="both"/>
        <w:rPr>
          <w:rFonts w:ascii="Times New Roman" w:eastAsia="Times New Roman" w:hAnsi="Times New Roman"/>
          <w:lang w:val="en-US"/>
        </w:rPr>
      </w:pPr>
      <w:r>
        <w:rPr>
          <w:noProof/>
        </w:rPr>
        <w:lastRenderedPageBreak/>
        <w:drawing>
          <wp:inline distT="0" distB="0" distL="0" distR="0" wp14:anchorId="1A9DF758" wp14:editId="09AD10CD">
            <wp:extent cx="5934075" cy="1847850"/>
            <wp:effectExtent l="0" t="0" r="0" b="0"/>
            <wp:docPr id="8066306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630603" name=""/>
                    <pic:cNvPicPr/>
                  </pic:nvPicPr>
                  <pic:blipFill>
                    <a:blip r:embed="rId25">
                      <a:extLst>
                        <a:ext uri="{28A0092B-C50C-407E-A947-70E740481C1C}">
                          <a14:useLocalDpi xmlns:a14="http://schemas.microsoft.com/office/drawing/2010/main" val="0"/>
                        </a:ext>
                      </a:extLst>
                    </a:blip>
                    <a:stretch>
                      <a:fillRect/>
                    </a:stretch>
                  </pic:blipFill>
                  <pic:spPr>
                    <a:xfrm>
                      <a:off x="0" y="0"/>
                      <a:ext cx="5934075" cy="1847850"/>
                    </a:xfrm>
                    <a:prstGeom prst="rect">
                      <a:avLst/>
                    </a:prstGeom>
                  </pic:spPr>
                </pic:pic>
              </a:graphicData>
            </a:graphic>
          </wp:inline>
        </w:drawing>
      </w:r>
    </w:p>
    <w:p w14:paraId="4EE9DFB3" w14:textId="3ED08DDD" w:rsidR="00BC1EB4" w:rsidRDefault="7E29CA3D" w:rsidP="024281B5">
      <w:pPr>
        <w:spacing w:after="0" w:line="240" w:lineRule="auto"/>
        <w:jc w:val="both"/>
        <w:rPr>
          <w:rFonts w:ascii="Times New Roman" w:eastAsia="Times New Roman" w:hAnsi="Times New Roman"/>
          <w:lang w:val="en-US"/>
        </w:rPr>
      </w:pPr>
      <w:r>
        <w:rPr>
          <w:noProof/>
        </w:rPr>
        <w:drawing>
          <wp:inline distT="0" distB="0" distL="0" distR="0" wp14:anchorId="0DA4D183" wp14:editId="27822710">
            <wp:extent cx="6010275" cy="1752600"/>
            <wp:effectExtent l="0" t="0" r="0" b="0"/>
            <wp:docPr id="19716866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86665" name=""/>
                    <pic:cNvPicPr/>
                  </pic:nvPicPr>
                  <pic:blipFill>
                    <a:blip r:embed="rId26">
                      <a:extLst>
                        <a:ext uri="{28A0092B-C50C-407E-A947-70E740481C1C}">
                          <a14:useLocalDpi xmlns:a14="http://schemas.microsoft.com/office/drawing/2010/main" val="0"/>
                        </a:ext>
                      </a:extLst>
                    </a:blip>
                    <a:stretch>
                      <a:fillRect/>
                    </a:stretch>
                  </pic:blipFill>
                  <pic:spPr>
                    <a:xfrm>
                      <a:off x="0" y="0"/>
                      <a:ext cx="6010275" cy="1752600"/>
                    </a:xfrm>
                    <a:prstGeom prst="rect">
                      <a:avLst/>
                    </a:prstGeom>
                  </pic:spPr>
                </pic:pic>
              </a:graphicData>
            </a:graphic>
          </wp:inline>
        </w:drawing>
      </w:r>
    </w:p>
    <w:p w14:paraId="1F5A66CB" w14:textId="7E286AF8" w:rsidR="00BC1EB4" w:rsidRDefault="4C74A08D" w:rsidP="024281B5">
      <w:pPr>
        <w:pStyle w:val="FigureCaption"/>
        <w:spacing w:before="120" w:after="0"/>
        <w:rPr>
          <w:b w:val="0"/>
          <w:bCs w:val="0"/>
          <w:i/>
          <w:iCs/>
          <w:sz w:val="20"/>
          <w:szCs w:val="20"/>
        </w:rPr>
      </w:pPr>
      <w:r w:rsidRPr="024281B5">
        <w:rPr>
          <w:b w:val="0"/>
          <w:bCs w:val="0"/>
          <w:i/>
          <w:iCs/>
          <w:sz w:val="20"/>
          <w:szCs w:val="20"/>
        </w:rPr>
        <w:t>Fig.</w:t>
      </w:r>
      <w:r w:rsidR="1F4A4131" w:rsidRPr="024281B5">
        <w:rPr>
          <w:b w:val="0"/>
          <w:bCs w:val="0"/>
          <w:i/>
          <w:iCs/>
          <w:sz w:val="20"/>
          <w:szCs w:val="20"/>
        </w:rPr>
        <w:t>9</w:t>
      </w:r>
      <w:r w:rsidRPr="024281B5">
        <w:rPr>
          <w:b w:val="0"/>
          <w:bCs w:val="0"/>
          <w:i/>
          <w:iCs/>
          <w:sz w:val="20"/>
          <w:szCs w:val="20"/>
        </w:rPr>
        <w:t xml:space="preserve"> – Dose distribution maps from </w:t>
      </w:r>
      <w:r w:rsidR="20781717" w:rsidRPr="024281B5">
        <w:rPr>
          <w:b w:val="0"/>
          <w:bCs w:val="0"/>
          <w:i/>
          <w:iCs/>
          <w:sz w:val="20"/>
          <w:szCs w:val="20"/>
        </w:rPr>
        <w:t>electrons</w:t>
      </w:r>
      <w:r w:rsidRPr="024281B5">
        <w:rPr>
          <w:b w:val="0"/>
          <w:bCs w:val="0"/>
          <w:i/>
          <w:iCs/>
          <w:sz w:val="20"/>
          <w:szCs w:val="20"/>
        </w:rPr>
        <w:t xml:space="preserve"> </w:t>
      </w:r>
      <w:r w:rsidR="20781717" w:rsidRPr="024281B5">
        <w:rPr>
          <w:b w:val="0"/>
          <w:bCs w:val="0"/>
          <w:i/>
          <w:iCs/>
          <w:sz w:val="20"/>
          <w:szCs w:val="20"/>
        </w:rPr>
        <w:t>losses in scrapper</w:t>
      </w:r>
      <w:r w:rsidRPr="024281B5">
        <w:rPr>
          <w:b w:val="0"/>
          <w:bCs w:val="0"/>
          <w:i/>
          <w:iCs/>
          <w:sz w:val="20"/>
          <w:szCs w:val="20"/>
        </w:rPr>
        <w:t xml:space="preserve"> radiation simulations.</w:t>
      </w:r>
    </w:p>
    <w:p w14:paraId="57A99B99" w14:textId="08ACD30B" w:rsidR="00BC1EB4" w:rsidRDefault="00BC1EB4" w:rsidP="024281B5">
      <w:pPr>
        <w:spacing w:after="0" w:line="240" w:lineRule="auto"/>
        <w:jc w:val="both"/>
        <w:rPr>
          <w:rFonts w:ascii="Times New Roman" w:hAnsi="Times New Roman"/>
          <w:lang w:val="en-US"/>
        </w:rPr>
      </w:pPr>
    </w:p>
    <w:p w14:paraId="69BBA826" w14:textId="27DF66EF" w:rsidR="00BC1EB4" w:rsidRDefault="5759E755" w:rsidP="024281B5">
      <w:pPr>
        <w:spacing w:after="0" w:line="240" w:lineRule="auto"/>
        <w:jc w:val="both"/>
        <w:rPr>
          <w:rFonts w:ascii="Times New Roman" w:hAnsi="Times New Roman"/>
          <w:lang w:val="en-US"/>
        </w:rPr>
      </w:pPr>
      <w:r w:rsidRPr="024281B5">
        <w:rPr>
          <w:rFonts w:ascii="Times New Roman" w:hAnsi="Times New Roman"/>
          <w:lang w:val="en-US"/>
        </w:rPr>
        <w:t xml:space="preserve">Gas Bremsstrahlung contributions, analyzed under conservative assumptions for beam current and vacuum pressure, also resulted in dose levels below the acceptable threshold (Figure 10). </w:t>
      </w:r>
    </w:p>
    <w:p w14:paraId="75056406" w14:textId="0B86A04A" w:rsidR="00BC1EB4" w:rsidRDefault="23870562" w:rsidP="024281B5">
      <w:pPr>
        <w:spacing w:after="0" w:line="240" w:lineRule="auto"/>
        <w:jc w:val="both"/>
        <w:rPr>
          <w:rFonts w:ascii="Times New Roman" w:eastAsia="Times New Roman" w:hAnsi="Times New Roman"/>
          <w:lang w:val="en-US"/>
        </w:rPr>
      </w:pPr>
      <w:r>
        <w:rPr>
          <w:noProof/>
        </w:rPr>
        <w:drawing>
          <wp:inline distT="0" distB="0" distL="0" distR="0" wp14:anchorId="494B8D41" wp14:editId="137C2121">
            <wp:extent cx="3143172" cy="1875426"/>
            <wp:effectExtent l="0" t="0" r="0" b="0"/>
            <wp:docPr id="74590622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06227" name=""/>
                    <pic:cNvPicPr/>
                  </pic:nvPicPr>
                  <pic:blipFill>
                    <a:blip r:embed="rId27">
                      <a:extLst>
                        <a:ext uri="{28A0092B-C50C-407E-A947-70E740481C1C}">
                          <a14:useLocalDpi xmlns:a14="http://schemas.microsoft.com/office/drawing/2010/main"/>
                        </a:ext>
                      </a:extLst>
                    </a:blip>
                    <a:stretch>
                      <a:fillRect/>
                    </a:stretch>
                  </pic:blipFill>
                  <pic:spPr>
                    <a:xfrm>
                      <a:off x="0" y="0"/>
                      <a:ext cx="3143172" cy="1875426"/>
                    </a:xfrm>
                    <a:prstGeom prst="rect">
                      <a:avLst/>
                    </a:prstGeom>
                  </pic:spPr>
                </pic:pic>
              </a:graphicData>
            </a:graphic>
          </wp:inline>
        </w:drawing>
      </w:r>
      <w:r>
        <w:rPr>
          <w:noProof/>
        </w:rPr>
        <w:drawing>
          <wp:inline distT="0" distB="0" distL="0" distR="0" wp14:anchorId="2FF976ED" wp14:editId="4F0C0C20">
            <wp:extent cx="2886075" cy="1828800"/>
            <wp:effectExtent l="0" t="0" r="0" b="0"/>
            <wp:docPr id="171727145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271456" name=""/>
                    <pic:cNvPicPr/>
                  </pic:nvPicPr>
                  <pic:blipFill>
                    <a:blip r:embed="rId28">
                      <a:extLst>
                        <a:ext uri="{28A0092B-C50C-407E-A947-70E740481C1C}">
                          <a14:useLocalDpi xmlns:a14="http://schemas.microsoft.com/office/drawing/2010/main" val="0"/>
                        </a:ext>
                      </a:extLst>
                    </a:blip>
                    <a:stretch>
                      <a:fillRect/>
                    </a:stretch>
                  </pic:blipFill>
                  <pic:spPr>
                    <a:xfrm>
                      <a:off x="0" y="0"/>
                      <a:ext cx="2886075" cy="1828800"/>
                    </a:xfrm>
                    <a:prstGeom prst="rect">
                      <a:avLst/>
                    </a:prstGeom>
                  </pic:spPr>
                </pic:pic>
              </a:graphicData>
            </a:graphic>
          </wp:inline>
        </w:drawing>
      </w:r>
    </w:p>
    <w:p w14:paraId="2D4638EC" w14:textId="6766922D" w:rsidR="00BC1EB4" w:rsidRDefault="23870562" w:rsidP="024281B5">
      <w:pPr>
        <w:pStyle w:val="FigureCaption"/>
        <w:spacing w:before="120" w:after="0"/>
        <w:rPr>
          <w:b w:val="0"/>
          <w:bCs w:val="0"/>
          <w:i/>
          <w:iCs/>
          <w:sz w:val="20"/>
          <w:szCs w:val="20"/>
        </w:rPr>
      </w:pPr>
      <w:r w:rsidRPr="024281B5">
        <w:rPr>
          <w:b w:val="0"/>
          <w:bCs w:val="0"/>
          <w:i/>
          <w:iCs/>
          <w:sz w:val="20"/>
          <w:szCs w:val="20"/>
        </w:rPr>
        <w:t>Fig.</w:t>
      </w:r>
      <w:r w:rsidR="08AB34E9" w:rsidRPr="024281B5">
        <w:rPr>
          <w:b w:val="0"/>
          <w:bCs w:val="0"/>
          <w:i/>
          <w:iCs/>
          <w:sz w:val="20"/>
          <w:szCs w:val="20"/>
        </w:rPr>
        <w:t>10</w:t>
      </w:r>
      <w:r w:rsidRPr="024281B5">
        <w:rPr>
          <w:b w:val="0"/>
          <w:bCs w:val="0"/>
          <w:i/>
          <w:iCs/>
          <w:sz w:val="20"/>
          <w:szCs w:val="20"/>
        </w:rPr>
        <w:t xml:space="preserve"> – Dose distribution maps from Gas Bremsstrahlung radiation simulations.</w:t>
      </w:r>
    </w:p>
    <w:p w14:paraId="334AC0C2" w14:textId="6B07D4CF" w:rsidR="00BC1EB4" w:rsidRDefault="00BC1EB4" w:rsidP="024281B5">
      <w:pPr>
        <w:spacing w:after="0" w:line="240" w:lineRule="auto"/>
        <w:jc w:val="both"/>
        <w:rPr>
          <w:rFonts w:ascii="Times New Roman" w:hAnsi="Times New Roman"/>
          <w:lang w:val="en-US"/>
        </w:rPr>
      </w:pPr>
    </w:p>
    <w:p w14:paraId="5C7F2AFF" w14:textId="23996385" w:rsidR="00BC1EB4" w:rsidRDefault="09CD4D82" w:rsidP="024281B5">
      <w:pPr>
        <w:spacing w:after="0" w:line="240" w:lineRule="auto"/>
        <w:jc w:val="both"/>
        <w:rPr>
          <w:rFonts w:ascii="Times New Roman" w:hAnsi="Times New Roman"/>
          <w:lang w:val="en-US"/>
        </w:rPr>
      </w:pPr>
      <w:r w:rsidRPr="024281B5">
        <w:rPr>
          <w:rFonts w:ascii="Times New Roman" w:hAnsi="Times New Roman"/>
          <w:lang w:val="en-US"/>
        </w:rPr>
        <w:t>Iterative refinements between simulation outputs and shielding design guided the final mechanical drawings and installation, guaranteeing radiation levels outside the shielding remain within the regulatory thresholds.</w:t>
      </w:r>
      <w:r w:rsidR="47E9AB28" w:rsidRPr="024281B5">
        <w:rPr>
          <w:rFonts w:ascii="Times New Roman" w:hAnsi="Times New Roman"/>
          <w:lang w:val="en-US"/>
        </w:rPr>
        <w:t xml:space="preserve"> </w:t>
      </w:r>
      <w:r w:rsidRPr="024281B5">
        <w:rPr>
          <w:rFonts w:ascii="Times New Roman" w:hAnsi="Times New Roman"/>
          <w:lang w:val="en-US"/>
        </w:rPr>
        <w:t xml:space="preserve"> </w:t>
      </w:r>
    </w:p>
    <w:p w14:paraId="40B9E87B" w14:textId="673CE4CF" w:rsidR="00BC1EB4" w:rsidRDefault="00BC1EB4" w:rsidP="024281B5">
      <w:pPr>
        <w:spacing w:after="0" w:line="240" w:lineRule="auto"/>
        <w:jc w:val="both"/>
        <w:rPr>
          <w:rFonts w:ascii="Times New Roman" w:eastAsia="Times New Roman" w:hAnsi="Times New Roman"/>
          <w:color w:val="000000" w:themeColor="text1"/>
          <w:lang w:val="en-US"/>
        </w:rPr>
      </w:pPr>
    </w:p>
    <w:p w14:paraId="325C98D3" w14:textId="2378388C" w:rsidR="00BC1EB4" w:rsidRDefault="55482092" w:rsidP="024281B5">
      <w:pPr>
        <w:numPr>
          <w:ilvl w:val="0"/>
          <w:numId w:val="2"/>
        </w:numPr>
        <w:spacing w:after="0" w:line="240" w:lineRule="auto"/>
        <w:ind w:left="357" w:hanging="357"/>
        <w:jc w:val="both"/>
        <w:rPr>
          <w:rFonts w:ascii="Times New Roman" w:hAnsi="Times New Roman"/>
          <w:b/>
          <w:bCs/>
          <w:sz w:val="24"/>
          <w:szCs w:val="24"/>
          <w:lang w:val="en-US"/>
        </w:rPr>
      </w:pPr>
      <w:r w:rsidRPr="024281B5">
        <w:rPr>
          <w:rFonts w:ascii="Times New Roman" w:hAnsi="Times New Roman"/>
          <w:b/>
          <w:bCs/>
          <w:sz w:val="24"/>
          <w:szCs w:val="24"/>
          <w:lang w:val="en-US"/>
        </w:rPr>
        <w:t>Conclusions</w:t>
      </w:r>
    </w:p>
    <w:p w14:paraId="6A05A809" w14:textId="4BCD6A67" w:rsidR="00BC1EB4" w:rsidRDefault="00BC1EB4" w:rsidP="024281B5">
      <w:pPr>
        <w:spacing w:after="0" w:line="240" w:lineRule="auto"/>
        <w:ind w:left="360"/>
        <w:jc w:val="both"/>
        <w:rPr>
          <w:rFonts w:ascii="Times New Roman" w:hAnsi="Times New Roman"/>
          <w:b/>
          <w:bCs/>
          <w:sz w:val="24"/>
          <w:szCs w:val="24"/>
          <w:lang w:val="en-US"/>
        </w:rPr>
      </w:pPr>
    </w:p>
    <w:p w14:paraId="71ED5096" w14:textId="4BC5CDB2" w:rsidR="00D5324C" w:rsidRDefault="55482092" w:rsidP="024281B5">
      <w:pPr>
        <w:spacing w:after="0" w:line="240" w:lineRule="auto"/>
        <w:jc w:val="both"/>
        <w:rPr>
          <w:rFonts w:ascii="Times New Roman" w:hAnsi="Times New Roman"/>
          <w:lang w:val="en-US"/>
        </w:rPr>
      </w:pPr>
      <w:r w:rsidRPr="024281B5">
        <w:rPr>
          <w:rFonts w:ascii="Times New Roman" w:hAnsi="Times New Roman"/>
          <w:lang w:val="en-US"/>
        </w:rPr>
        <w:t xml:space="preserve">This study provides a practical methodology for radiation shielding design adapted to non-traditional synchrotron beamlines extracting IR, visible, and UV radiation. Tailored shielding geometries and materials based on Monte Carlo simulations ensure compliance with dose limits and operational safety. </w:t>
      </w:r>
      <w:r w:rsidR="7D92FBED" w:rsidRPr="024281B5">
        <w:rPr>
          <w:rFonts w:ascii="Times New Roman" w:hAnsi="Times New Roman"/>
          <w:lang w:val="en-US"/>
        </w:rPr>
        <w:t xml:space="preserve">The shielding design for the SAPÊ and CARCARÁ beamlines was particularly challenging due to the deliberate design premise of not having shielding hutches with protective walls outside the concrete ring shielding; consequently, no spatial restrictions exist outside the concrete shielding walls to prevent potential exposures, requiring highly optimized front-end shielding solutions. </w:t>
      </w:r>
    </w:p>
    <w:p w14:paraId="72A3D3EC" w14:textId="636C1D70" w:rsidR="00D5324C" w:rsidRDefault="55482092" w:rsidP="024281B5">
      <w:pPr>
        <w:spacing w:after="0" w:line="240" w:lineRule="auto"/>
        <w:jc w:val="both"/>
        <w:rPr>
          <w:rFonts w:ascii="Times New Roman" w:hAnsi="Times New Roman"/>
          <w:lang w:val="en-US"/>
        </w:rPr>
      </w:pPr>
      <w:r w:rsidRPr="024281B5">
        <w:rPr>
          <w:rFonts w:ascii="Times New Roman" w:hAnsi="Times New Roman"/>
          <w:lang w:val="en-US"/>
        </w:rPr>
        <w:t xml:space="preserve">Integrated radiation monitors were employed during initial beam commissioning and regular operation of all three beamlines. Results consistently demonstrated dose levels below </w:t>
      </w:r>
      <w:proofErr w:type="gramStart"/>
      <w:r w:rsidRPr="024281B5">
        <w:rPr>
          <w:rFonts w:ascii="Times New Roman" w:hAnsi="Times New Roman"/>
          <w:lang w:val="en-US"/>
        </w:rPr>
        <w:t>background outside</w:t>
      </w:r>
      <w:proofErr w:type="gramEnd"/>
      <w:r w:rsidRPr="024281B5">
        <w:rPr>
          <w:rFonts w:ascii="Times New Roman" w:hAnsi="Times New Roman"/>
          <w:lang w:val="en-US"/>
        </w:rPr>
        <w:t xml:space="preserve"> shielding zones, validating simulation predictions and supporting the chosen radiation protection strategies. The approach is </w:t>
      </w:r>
      <w:r w:rsidRPr="024281B5">
        <w:rPr>
          <w:rFonts w:ascii="Times New Roman" w:hAnsi="Times New Roman"/>
          <w:lang w:val="en-US"/>
        </w:rPr>
        <w:lastRenderedPageBreak/>
        <w:t>flexible and scalable for future beamline projects, promoting innovative synchrotron use without compromising radiological safety.</w:t>
      </w:r>
    </w:p>
    <w:p w14:paraId="2B7A5024" w14:textId="77777777" w:rsidR="00C8504F" w:rsidRDefault="00C8504F" w:rsidP="024281B5">
      <w:pPr>
        <w:spacing w:after="0" w:line="240" w:lineRule="auto"/>
        <w:jc w:val="both"/>
        <w:rPr>
          <w:rFonts w:ascii="Times New Roman" w:hAnsi="Times New Roman"/>
          <w:lang w:val="en-US"/>
        </w:rPr>
      </w:pPr>
    </w:p>
    <w:p w14:paraId="345E61B9" w14:textId="0E6140FC" w:rsidR="00C8504F" w:rsidRDefault="00C8504F" w:rsidP="024281B5">
      <w:pPr>
        <w:spacing w:after="0" w:line="240" w:lineRule="auto"/>
        <w:jc w:val="both"/>
        <w:rPr>
          <w:rFonts w:ascii="Times New Roman" w:hAnsi="Times New Roman"/>
          <w:lang w:val="en-US"/>
        </w:rPr>
      </w:pPr>
      <w:r w:rsidRPr="00C8504F">
        <w:rPr>
          <w:rFonts w:ascii="Times New Roman" w:hAnsi="Times New Roman"/>
          <w:b/>
          <w:bCs/>
          <w:lang w:val="en-US"/>
        </w:rPr>
        <w:t xml:space="preserve">Acknowledgments: </w:t>
      </w:r>
      <w:r w:rsidRPr="00C8504F">
        <w:rPr>
          <w:rFonts w:ascii="Times New Roman" w:hAnsi="Times New Roman"/>
          <w:lang w:val="en-US"/>
        </w:rPr>
        <w:t>The authors thank high-performance computing resources essential to this work provided by the National Laboratory for Scientific Computing (LNCC/MCTI, Brazil).</w:t>
      </w:r>
    </w:p>
    <w:p w14:paraId="0D0B940D" w14:textId="77777777" w:rsidR="00DC7A4A" w:rsidRDefault="00DC7A4A" w:rsidP="024281B5">
      <w:pPr>
        <w:spacing w:after="0" w:line="240" w:lineRule="auto"/>
        <w:jc w:val="both"/>
        <w:rPr>
          <w:rStyle w:val="BodyTextChar"/>
          <w:rFonts w:eastAsia="Calibri"/>
          <w:sz w:val="22"/>
          <w:szCs w:val="22"/>
        </w:rPr>
      </w:pPr>
    </w:p>
    <w:p w14:paraId="071E4E01" w14:textId="77777777" w:rsidR="00106D8B" w:rsidRDefault="00106D8B" w:rsidP="024281B5">
      <w:pPr>
        <w:spacing w:after="0" w:line="240" w:lineRule="auto"/>
        <w:jc w:val="both"/>
        <w:rPr>
          <w:rFonts w:ascii="Times New Roman" w:hAnsi="Times New Roman"/>
          <w:b/>
          <w:bCs/>
          <w:lang w:val="en-US"/>
        </w:rPr>
      </w:pPr>
      <w:r w:rsidRPr="024281B5">
        <w:rPr>
          <w:rFonts w:ascii="Times New Roman" w:hAnsi="Times New Roman"/>
          <w:b/>
          <w:bCs/>
          <w:lang w:val="en-US"/>
        </w:rPr>
        <w:t>References</w:t>
      </w:r>
    </w:p>
    <w:p w14:paraId="0E27B00A" w14:textId="77777777" w:rsidR="00106D8B" w:rsidRPr="00C96841" w:rsidRDefault="00106D8B" w:rsidP="00106D8B">
      <w:pPr>
        <w:spacing w:after="0" w:line="240" w:lineRule="auto"/>
        <w:jc w:val="both"/>
        <w:rPr>
          <w:rFonts w:ascii="Times New Roman" w:hAnsi="Times New Roman"/>
          <w:lang w:val="en-US"/>
        </w:rPr>
      </w:pPr>
    </w:p>
    <w:p w14:paraId="11EC746C" w14:textId="2CAFFDA8" w:rsidR="00C90405" w:rsidRPr="00C320B9" w:rsidRDefault="00C90405" w:rsidP="024281B5">
      <w:pPr>
        <w:pStyle w:val="Textodenotadefim"/>
        <w:rPr>
          <w:sz w:val="22"/>
          <w:szCs w:val="22"/>
          <w:lang w:val="en-US"/>
        </w:rPr>
      </w:pPr>
      <w:r w:rsidRPr="024281B5">
        <w:rPr>
          <w:sz w:val="22"/>
          <w:szCs w:val="22"/>
          <w:lang w:val="en-US"/>
        </w:rPr>
        <w:t xml:space="preserve">[1] </w:t>
      </w:r>
      <w:proofErr w:type="spellStart"/>
      <w:proofErr w:type="gramStart"/>
      <w:r w:rsidR="66B9F570" w:rsidRPr="024281B5">
        <w:rPr>
          <w:sz w:val="22"/>
          <w:szCs w:val="22"/>
          <w:lang w:val="en-US"/>
        </w:rPr>
        <w:t>F.Cerutti</w:t>
      </w:r>
      <w:proofErr w:type="spellEnd"/>
      <w:proofErr w:type="gramEnd"/>
      <w:r w:rsidR="66B9F570" w:rsidRPr="024281B5">
        <w:rPr>
          <w:sz w:val="22"/>
          <w:szCs w:val="22"/>
          <w:lang w:val="en-US"/>
        </w:rPr>
        <w:t xml:space="preserve"> et al., “New Capabilities of the FLUKA Multi-Purpose Code”, Frontiers in Physics 9, 788253 (2022). ISSN: 2296-424X</w:t>
      </w:r>
    </w:p>
    <w:p w14:paraId="60061E4C" w14:textId="77777777" w:rsidR="00C90405" w:rsidRPr="00292473" w:rsidRDefault="00C90405" w:rsidP="024281B5">
      <w:pPr>
        <w:pStyle w:val="Textodenotadefim"/>
        <w:rPr>
          <w:sz w:val="22"/>
          <w:szCs w:val="22"/>
          <w:lang w:val="en-US"/>
        </w:rPr>
      </w:pPr>
    </w:p>
    <w:sectPr w:rsidR="00C90405" w:rsidRPr="00292473" w:rsidSect="009E059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D30B8B" w14:textId="77777777" w:rsidR="00D6002F" w:rsidRDefault="00D6002F" w:rsidP="0094551B">
      <w:pPr>
        <w:spacing w:after="0" w:line="240" w:lineRule="auto"/>
      </w:pPr>
      <w:r>
        <w:separator/>
      </w:r>
    </w:p>
  </w:endnote>
  <w:endnote w:type="continuationSeparator" w:id="0">
    <w:p w14:paraId="7258B548" w14:textId="77777777" w:rsidR="00D6002F" w:rsidRDefault="00D6002F" w:rsidP="00945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Miriam">
    <w:charset w:val="B1"/>
    <w:family w:val="swiss"/>
    <w:pitch w:val="variable"/>
    <w:sig w:usb0="00000801" w:usb1="00000000" w:usb2="00000000" w:usb3="00000000" w:csb0="00000020"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69E68" w14:textId="77777777" w:rsidR="00D6002F" w:rsidRDefault="00D6002F" w:rsidP="0094551B">
      <w:pPr>
        <w:spacing w:after="0" w:line="240" w:lineRule="auto"/>
      </w:pPr>
      <w:r>
        <w:separator/>
      </w:r>
    </w:p>
  </w:footnote>
  <w:footnote w:type="continuationSeparator" w:id="0">
    <w:p w14:paraId="7289AA15" w14:textId="77777777" w:rsidR="00D6002F" w:rsidRDefault="00D6002F" w:rsidP="0094551B">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ph794JGxkHhf/E" int2:id="CK1Ib6WR">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111AC"/>
    <w:multiLevelType w:val="hybridMultilevel"/>
    <w:tmpl w:val="300A7E6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1C72ED"/>
    <w:multiLevelType w:val="multilevel"/>
    <w:tmpl w:val="F48668A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3CB407D6"/>
    <w:multiLevelType w:val="hybridMultilevel"/>
    <w:tmpl w:val="13A62AB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00F4424"/>
    <w:multiLevelType w:val="hybridMultilevel"/>
    <w:tmpl w:val="B2EA69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27182477">
    <w:abstractNumId w:val="2"/>
  </w:num>
  <w:num w:numId="2" w16cid:durableId="37633597">
    <w:abstractNumId w:val="1"/>
  </w:num>
  <w:num w:numId="3" w16cid:durableId="140998565">
    <w:abstractNumId w:val="3"/>
  </w:num>
  <w:num w:numId="4" w16cid:durableId="12655779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6CEF"/>
    <w:rsid w:val="00046771"/>
    <w:rsid w:val="000A09A1"/>
    <w:rsid w:val="000E2FFF"/>
    <w:rsid w:val="00100B10"/>
    <w:rsid w:val="00106D8B"/>
    <w:rsid w:val="00126F69"/>
    <w:rsid w:val="00155F84"/>
    <w:rsid w:val="0016212D"/>
    <w:rsid w:val="00193B8B"/>
    <w:rsid w:val="001C58E1"/>
    <w:rsid w:val="001E461B"/>
    <w:rsid w:val="001F4D18"/>
    <w:rsid w:val="002363D5"/>
    <w:rsid w:val="0025027A"/>
    <w:rsid w:val="00280809"/>
    <w:rsid w:val="00283151"/>
    <w:rsid w:val="002A5212"/>
    <w:rsid w:val="003A0BE5"/>
    <w:rsid w:val="003C0552"/>
    <w:rsid w:val="003D747C"/>
    <w:rsid w:val="003F4430"/>
    <w:rsid w:val="00413867"/>
    <w:rsid w:val="00461595"/>
    <w:rsid w:val="00481CC0"/>
    <w:rsid w:val="004863D9"/>
    <w:rsid w:val="004B406F"/>
    <w:rsid w:val="0053792C"/>
    <w:rsid w:val="00554BAB"/>
    <w:rsid w:val="0056605F"/>
    <w:rsid w:val="0057174E"/>
    <w:rsid w:val="00586832"/>
    <w:rsid w:val="005A6B37"/>
    <w:rsid w:val="005B2720"/>
    <w:rsid w:val="0064275A"/>
    <w:rsid w:val="0065270B"/>
    <w:rsid w:val="00653460"/>
    <w:rsid w:val="00657B82"/>
    <w:rsid w:val="006E0861"/>
    <w:rsid w:val="007332B7"/>
    <w:rsid w:val="00734C19"/>
    <w:rsid w:val="00746CEF"/>
    <w:rsid w:val="007975D1"/>
    <w:rsid w:val="007A478F"/>
    <w:rsid w:val="00833651"/>
    <w:rsid w:val="008425E1"/>
    <w:rsid w:val="00860628"/>
    <w:rsid w:val="00876E97"/>
    <w:rsid w:val="00890E7D"/>
    <w:rsid w:val="0089433D"/>
    <w:rsid w:val="008B4565"/>
    <w:rsid w:val="00926672"/>
    <w:rsid w:val="00933E08"/>
    <w:rsid w:val="0094551B"/>
    <w:rsid w:val="00957FBC"/>
    <w:rsid w:val="009860C0"/>
    <w:rsid w:val="0098688E"/>
    <w:rsid w:val="009A3728"/>
    <w:rsid w:val="009E0598"/>
    <w:rsid w:val="00A00494"/>
    <w:rsid w:val="00A07B44"/>
    <w:rsid w:val="00A4522E"/>
    <w:rsid w:val="00A66D9F"/>
    <w:rsid w:val="00AD227B"/>
    <w:rsid w:val="00B270E5"/>
    <w:rsid w:val="00B66D48"/>
    <w:rsid w:val="00BC1EB4"/>
    <w:rsid w:val="00BC5335"/>
    <w:rsid w:val="00C03829"/>
    <w:rsid w:val="00C320B9"/>
    <w:rsid w:val="00C8504F"/>
    <w:rsid w:val="00C90405"/>
    <w:rsid w:val="00C91C97"/>
    <w:rsid w:val="00CA6FA6"/>
    <w:rsid w:val="00CB0384"/>
    <w:rsid w:val="00CE24DE"/>
    <w:rsid w:val="00D5324C"/>
    <w:rsid w:val="00D6002F"/>
    <w:rsid w:val="00D6106D"/>
    <w:rsid w:val="00DB59E7"/>
    <w:rsid w:val="00DC3B6A"/>
    <w:rsid w:val="00DC7A4A"/>
    <w:rsid w:val="00E20AF2"/>
    <w:rsid w:val="00E2310B"/>
    <w:rsid w:val="00E51FCF"/>
    <w:rsid w:val="00E87894"/>
    <w:rsid w:val="00ED4FE6"/>
    <w:rsid w:val="00F71B27"/>
    <w:rsid w:val="00F76739"/>
    <w:rsid w:val="00FB1674"/>
    <w:rsid w:val="00FE131D"/>
    <w:rsid w:val="00FE6FE0"/>
    <w:rsid w:val="01ED7433"/>
    <w:rsid w:val="024281B5"/>
    <w:rsid w:val="028A2C3C"/>
    <w:rsid w:val="02DB4884"/>
    <w:rsid w:val="04DDFE67"/>
    <w:rsid w:val="051BFB2F"/>
    <w:rsid w:val="0535E99C"/>
    <w:rsid w:val="05A07D50"/>
    <w:rsid w:val="05A4715C"/>
    <w:rsid w:val="0722B585"/>
    <w:rsid w:val="0786D986"/>
    <w:rsid w:val="079FFAB7"/>
    <w:rsid w:val="0827BA4C"/>
    <w:rsid w:val="08AB34E9"/>
    <w:rsid w:val="09CD4D82"/>
    <w:rsid w:val="0AA4BDD2"/>
    <w:rsid w:val="0C3BB3AB"/>
    <w:rsid w:val="0C5940CE"/>
    <w:rsid w:val="0CAC9A71"/>
    <w:rsid w:val="0CB155FA"/>
    <w:rsid w:val="0E02437E"/>
    <w:rsid w:val="0F74D0D7"/>
    <w:rsid w:val="0F9EDEF1"/>
    <w:rsid w:val="10333F18"/>
    <w:rsid w:val="10607284"/>
    <w:rsid w:val="1150486E"/>
    <w:rsid w:val="11F462C5"/>
    <w:rsid w:val="1346C261"/>
    <w:rsid w:val="14930B5B"/>
    <w:rsid w:val="14FA8E82"/>
    <w:rsid w:val="153AF1B4"/>
    <w:rsid w:val="16DD1AB7"/>
    <w:rsid w:val="172EAE6C"/>
    <w:rsid w:val="177AF248"/>
    <w:rsid w:val="17CE12F6"/>
    <w:rsid w:val="17F69137"/>
    <w:rsid w:val="18803B6B"/>
    <w:rsid w:val="18E057CB"/>
    <w:rsid w:val="19206746"/>
    <w:rsid w:val="19BD17D9"/>
    <w:rsid w:val="19E42FF7"/>
    <w:rsid w:val="1A0369F3"/>
    <w:rsid w:val="1A04EE7E"/>
    <w:rsid w:val="1A75BBAF"/>
    <w:rsid w:val="1B06AF98"/>
    <w:rsid w:val="1B0ED16C"/>
    <w:rsid w:val="1BE8AB8C"/>
    <w:rsid w:val="1D1C7640"/>
    <w:rsid w:val="1D4AD8F0"/>
    <w:rsid w:val="1D4BFFC9"/>
    <w:rsid w:val="1D98F1B6"/>
    <w:rsid w:val="1DA0592E"/>
    <w:rsid w:val="1DE77307"/>
    <w:rsid w:val="1E211372"/>
    <w:rsid w:val="1E477B46"/>
    <w:rsid w:val="1E80528C"/>
    <w:rsid w:val="1EB0A9F2"/>
    <w:rsid w:val="1F4A4131"/>
    <w:rsid w:val="1FEB57D4"/>
    <w:rsid w:val="1FF03B6D"/>
    <w:rsid w:val="200E8A75"/>
    <w:rsid w:val="20781717"/>
    <w:rsid w:val="21FE6325"/>
    <w:rsid w:val="220B8285"/>
    <w:rsid w:val="2311ADF3"/>
    <w:rsid w:val="23496874"/>
    <w:rsid w:val="2371D3FE"/>
    <w:rsid w:val="23870562"/>
    <w:rsid w:val="23C2304A"/>
    <w:rsid w:val="242F8D59"/>
    <w:rsid w:val="2488FE84"/>
    <w:rsid w:val="27857DF8"/>
    <w:rsid w:val="28CF05A2"/>
    <w:rsid w:val="290644D9"/>
    <w:rsid w:val="29B6744F"/>
    <w:rsid w:val="2A1DF987"/>
    <w:rsid w:val="2C4C3229"/>
    <w:rsid w:val="2DD544E2"/>
    <w:rsid w:val="2F0400ED"/>
    <w:rsid w:val="306FDFB4"/>
    <w:rsid w:val="308AB227"/>
    <w:rsid w:val="31E3C871"/>
    <w:rsid w:val="31E4A57D"/>
    <w:rsid w:val="3259E27E"/>
    <w:rsid w:val="32B5C19C"/>
    <w:rsid w:val="333EE697"/>
    <w:rsid w:val="336DC93C"/>
    <w:rsid w:val="33ED83FD"/>
    <w:rsid w:val="340466C7"/>
    <w:rsid w:val="3407A777"/>
    <w:rsid w:val="34FC5239"/>
    <w:rsid w:val="373DA81B"/>
    <w:rsid w:val="37888261"/>
    <w:rsid w:val="37B1564A"/>
    <w:rsid w:val="38F4FC7E"/>
    <w:rsid w:val="39B419FD"/>
    <w:rsid w:val="3AD1550B"/>
    <w:rsid w:val="3B77AFF0"/>
    <w:rsid w:val="3C753658"/>
    <w:rsid w:val="3CCCE343"/>
    <w:rsid w:val="3CD5615F"/>
    <w:rsid w:val="3EA06919"/>
    <w:rsid w:val="3F5DA395"/>
    <w:rsid w:val="3F971B28"/>
    <w:rsid w:val="3FD0E764"/>
    <w:rsid w:val="3FD7B0DB"/>
    <w:rsid w:val="407F05FB"/>
    <w:rsid w:val="41EF3516"/>
    <w:rsid w:val="421408A2"/>
    <w:rsid w:val="42E23846"/>
    <w:rsid w:val="44E7ADE6"/>
    <w:rsid w:val="47E9AB28"/>
    <w:rsid w:val="4814E671"/>
    <w:rsid w:val="4845980C"/>
    <w:rsid w:val="48659F79"/>
    <w:rsid w:val="48C9DB75"/>
    <w:rsid w:val="497B4394"/>
    <w:rsid w:val="49C20652"/>
    <w:rsid w:val="49F2387B"/>
    <w:rsid w:val="4A78F172"/>
    <w:rsid w:val="4B3AEAA0"/>
    <w:rsid w:val="4BD8CE8F"/>
    <w:rsid w:val="4BDBF57C"/>
    <w:rsid w:val="4C74A08D"/>
    <w:rsid w:val="4DAE7AE3"/>
    <w:rsid w:val="4DC21EB8"/>
    <w:rsid w:val="4DD99973"/>
    <w:rsid w:val="4F158C6E"/>
    <w:rsid w:val="4FE7538E"/>
    <w:rsid w:val="503C53A4"/>
    <w:rsid w:val="507B01E7"/>
    <w:rsid w:val="50F115A1"/>
    <w:rsid w:val="5228DDBD"/>
    <w:rsid w:val="533501DA"/>
    <w:rsid w:val="546FF27D"/>
    <w:rsid w:val="54738C12"/>
    <w:rsid w:val="5486AF29"/>
    <w:rsid w:val="54A01126"/>
    <w:rsid w:val="54C5F5A8"/>
    <w:rsid w:val="54D4D320"/>
    <w:rsid w:val="5502FEF6"/>
    <w:rsid w:val="551A0FF9"/>
    <w:rsid w:val="55482092"/>
    <w:rsid w:val="55505C31"/>
    <w:rsid w:val="55BFE1AC"/>
    <w:rsid w:val="56380062"/>
    <w:rsid w:val="56B4B2BD"/>
    <w:rsid w:val="572821BD"/>
    <w:rsid w:val="5759E755"/>
    <w:rsid w:val="577E2BE2"/>
    <w:rsid w:val="5798BAE2"/>
    <w:rsid w:val="594AC839"/>
    <w:rsid w:val="59EB79C7"/>
    <w:rsid w:val="5A0804F5"/>
    <w:rsid w:val="5ADC2F83"/>
    <w:rsid w:val="5AFC5AAF"/>
    <w:rsid w:val="5B2889F1"/>
    <w:rsid w:val="5B30F1CC"/>
    <w:rsid w:val="5C788B76"/>
    <w:rsid w:val="5C90F9C4"/>
    <w:rsid w:val="5D45C36D"/>
    <w:rsid w:val="5F1AC1C5"/>
    <w:rsid w:val="5FFC1B43"/>
    <w:rsid w:val="60456B4C"/>
    <w:rsid w:val="61183A0B"/>
    <w:rsid w:val="6405E76D"/>
    <w:rsid w:val="64652763"/>
    <w:rsid w:val="65AB9938"/>
    <w:rsid w:val="65B58032"/>
    <w:rsid w:val="65C516B7"/>
    <w:rsid w:val="66B9F570"/>
    <w:rsid w:val="67570AFC"/>
    <w:rsid w:val="67671577"/>
    <w:rsid w:val="6769E9BC"/>
    <w:rsid w:val="67956133"/>
    <w:rsid w:val="693CB52B"/>
    <w:rsid w:val="694B3E54"/>
    <w:rsid w:val="695BD91B"/>
    <w:rsid w:val="69EC0ECB"/>
    <w:rsid w:val="6A3A544B"/>
    <w:rsid w:val="6A415A25"/>
    <w:rsid w:val="6AA6F68A"/>
    <w:rsid w:val="6AAAD755"/>
    <w:rsid w:val="6C10886E"/>
    <w:rsid w:val="6CF62CE0"/>
    <w:rsid w:val="6DE960DD"/>
    <w:rsid w:val="6EFF2CFE"/>
    <w:rsid w:val="70801663"/>
    <w:rsid w:val="739C4479"/>
    <w:rsid w:val="73EE0D96"/>
    <w:rsid w:val="7542E412"/>
    <w:rsid w:val="760689E0"/>
    <w:rsid w:val="7732C826"/>
    <w:rsid w:val="787F5C9B"/>
    <w:rsid w:val="7950EB1A"/>
    <w:rsid w:val="7B2078AA"/>
    <w:rsid w:val="7B89C10E"/>
    <w:rsid w:val="7B8D89D3"/>
    <w:rsid w:val="7C0AE1F7"/>
    <w:rsid w:val="7D8F91BA"/>
    <w:rsid w:val="7D92FBED"/>
    <w:rsid w:val="7DFF9E71"/>
    <w:rsid w:val="7E0054CC"/>
    <w:rsid w:val="7E29CA3D"/>
    <w:rsid w:val="7E380AEC"/>
    <w:rsid w:val="7E64310C"/>
    <w:rsid w:val="7E6D107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4F2746"/>
  <w15:docId w15:val="{35C7C707-0C88-4A1B-AAE4-4440D4ED4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2B7"/>
    <w:pPr>
      <w:spacing w:after="200" w:line="276" w:lineRule="auto"/>
    </w:pPr>
    <w:rPr>
      <w:sz w:val="22"/>
      <w:szCs w:val="22"/>
      <w:lang w:val="it-IT" w:eastAsia="en-US"/>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BodyText1">
    <w:name w:val="Body Text1"/>
    <w:basedOn w:val="Normal"/>
    <w:link w:val="BodyTextChar"/>
    <w:rsid w:val="00746CEF"/>
    <w:pPr>
      <w:widowControl w:val="0"/>
      <w:spacing w:before="100" w:beforeAutospacing="1" w:after="0" w:line="240" w:lineRule="auto"/>
      <w:jc w:val="both"/>
    </w:pPr>
    <w:rPr>
      <w:rFonts w:ascii="Times New Roman" w:eastAsia="Times New Roman" w:hAnsi="Times New Roman"/>
      <w:kern w:val="2"/>
      <w:sz w:val="20"/>
      <w:szCs w:val="20"/>
      <w:lang w:val="en-US" w:eastAsia="zh-CN"/>
    </w:rPr>
  </w:style>
  <w:style w:type="character" w:customStyle="1" w:styleId="BodyTextChar">
    <w:name w:val="Body Text Char"/>
    <w:link w:val="BodyText1"/>
    <w:rsid w:val="00746CEF"/>
    <w:rPr>
      <w:rFonts w:ascii="Times New Roman" w:eastAsia="Times New Roman" w:hAnsi="Times New Roman" w:cs="Times New Roman"/>
      <w:kern w:val="2"/>
      <w:sz w:val="20"/>
      <w:szCs w:val="20"/>
      <w:lang w:val="en-US" w:eastAsia="zh-CN"/>
    </w:rPr>
  </w:style>
  <w:style w:type="paragraph" w:customStyle="1" w:styleId="Formulas">
    <w:name w:val="Formulas"/>
    <w:basedOn w:val="Normal"/>
    <w:rsid w:val="00746CEF"/>
    <w:pPr>
      <w:widowControl w:val="0"/>
      <w:spacing w:before="120" w:after="120" w:line="240" w:lineRule="auto"/>
      <w:jc w:val="right"/>
    </w:pPr>
    <w:rPr>
      <w:rFonts w:ascii="Times New Roman" w:eastAsia="Times New Roman" w:hAnsi="Times New Roman" w:cs="SimSun"/>
      <w:kern w:val="2"/>
      <w:sz w:val="20"/>
      <w:szCs w:val="20"/>
      <w:lang w:val="en-US" w:eastAsia="zh-CN"/>
    </w:rPr>
  </w:style>
  <w:style w:type="character" w:styleId="TextodoEspaoReservado">
    <w:name w:val="Placeholder Text"/>
    <w:uiPriority w:val="99"/>
    <w:semiHidden/>
    <w:rsid w:val="00746CEF"/>
    <w:rPr>
      <w:color w:val="808080"/>
    </w:rPr>
  </w:style>
  <w:style w:type="paragraph" w:styleId="Textodebalo">
    <w:name w:val="Balloon Text"/>
    <w:basedOn w:val="Normal"/>
    <w:link w:val="TextodebaloChar"/>
    <w:uiPriority w:val="99"/>
    <w:semiHidden/>
    <w:unhideWhenUsed/>
    <w:rsid w:val="00746CEF"/>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746CEF"/>
    <w:rPr>
      <w:rFonts w:ascii="Tahoma" w:hAnsi="Tahoma" w:cs="Tahoma"/>
      <w:sz w:val="16"/>
      <w:szCs w:val="16"/>
    </w:rPr>
  </w:style>
  <w:style w:type="paragraph" w:customStyle="1" w:styleId="Figure">
    <w:name w:val="Figure"/>
    <w:basedOn w:val="Normal"/>
    <w:rsid w:val="002363D5"/>
    <w:pPr>
      <w:widowControl w:val="0"/>
      <w:spacing w:before="100" w:after="120" w:line="240" w:lineRule="auto"/>
      <w:jc w:val="center"/>
    </w:pPr>
    <w:rPr>
      <w:rFonts w:ascii="Times New Roman" w:eastAsia="Times New Roman" w:hAnsi="Times New Roman" w:cs="SimSun"/>
      <w:kern w:val="2"/>
      <w:sz w:val="20"/>
      <w:szCs w:val="20"/>
      <w:lang w:val="en-US" w:eastAsia="zh-CN"/>
    </w:rPr>
  </w:style>
  <w:style w:type="paragraph" w:customStyle="1" w:styleId="TableTitle">
    <w:name w:val="Table Title"/>
    <w:basedOn w:val="Normal"/>
    <w:rsid w:val="002363D5"/>
    <w:pPr>
      <w:widowControl w:val="0"/>
      <w:spacing w:after="0" w:line="240" w:lineRule="auto"/>
      <w:jc w:val="center"/>
    </w:pPr>
    <w:rPr>
      <w:rFonts w:ascii="Times New Roman" w:eastAsia="Times New Roman" w:hAnsi="Times New Roman"/>
      <w:b/>
      <w:bCs/>
      <w:kern w:val="2"/>
      <w:sz w:val="20"/>
      <w:szCs w:val="24"/>
      <w:lang w:val="en-US" w:eastAsia="zh-CN"/>
    </w:rPr>
  </w:style>
  <w:style w:type="paragraph" w:customStyle="1" w:styleId="TableContent">
    <w:name w:val="Table Content"/>
    <w:basedOn w:val="Normal"/>
    <w:rsid w:val="002363D5"/>
    <w:pPr>
      <w:widowControl w:val="0"/>
      <w:spacing w:after="0" w:line="240" w:lineRule="auto"/>
      <w:jc w:val="center"/>
    </w:pPr>
    <w:rPr>
      <w:rFonts w:ascii="Times New Roman" w:eastAsia="Times New Roman" w:hAnsi="Times New Roman"/>
      <w:kern w:val="2"/>
      <w:sz w:val="20"/>
      <w:szCs w:val="24"/>
      <w:lang w:val="en-US" w:eastAsia="zh-CN"/>
    </w:rPr>
  </w:style>
  <w:style w:type="paragraph" w:customStyle="1" w:styleId="FigureCaption">
    <w:name w:val="Figure Caption"/>
    <w:basedOn w:val="Legenda"/>
    <w:rsid w:val="002363D5"/>
    <w:pPr>
      <w:spacing w:after="80" w:line="240" w:lineRule="auto"/>
      <w:jc w:val="center"/>
    </w:pPr>
    <w:rPr>
      <w:rFonts w:ascii="Times New Roman" w:eastAsia="Times New Roman" w:hAnsi="Times New Roman" w:cs="Miriam"/>
      <w:sz w:val="18"/>
      <w:szCs w:val="18"/>
      <w:lang w:val="en-US" w:eastAsia="en-AU"/>
    </w:rPr>
  </w:style>
  <w:style w:type="paragraph" w:styleId="Legenda">
    <w:name w:val="caption"/>
    <w:basedOn w:val="Normal"/>
    <w:next w:val="Normal"/>
    <w:uiPriority w:val="35"/>
    <w:unhideWhenUsed/>
    <w:qFormat/>
    <w:rsid w:val="002363D5"/>
    <w:rPr>
      <w:b/>
      <w:bCs/>
      <w:sz w:val="20"/>
      <w:szCs w:val="20"/>
    </w:rPr>
  </w:style>
  <w:style w:type="character" w:styleId="Hyperlink">
    <w:name w:val="Hyperlink"/>
    <w:uiPriority w:val="99"/>
    <w:unhideWhenUsed/>
    <w:rsid w:val="009E0598"/>
    <w:rPr>
      <w:color w:val="0000FF"/>
      <w:u w:val="single"/>
    </w:rPr>
  </w:style>
  <w:style w:type="paragraph" w:styleId="Textodenotaderodap">
    <w:name w:val="footnote text"/>
    <w:basedOn w:val="Normal"/>
    <w:link w:val="TextodenotaderodapChar"/>
    <w:uiPriority w:val="99"/>
    <w:unhideWhenUsed/>
    <w:rsid w:val="0094551B"/>
    <w:pPr>
      <w:tabs>
        <w:tab w:val="right" w:pos="9072"/>
      </w:tabs>
      <w:spacing w:after="0" w:line="240" w:lineRule="auto"/>
      <w:jc w:val="both"/>
    </w:pPr>
    <w:rPr>
      <w:rFonts w:ascii="Times New Roman" w:eastAsiaTheme="minorEastAsia" w:hAnsi="Times New Roman"/>
      <w:sz w:val="20"/>
      <w:szCs w:val="20"/>
      <w:lang w:val="en-GB"/>
    </w:rPr>
  </w:style>
  <w:style w:type="character" w:customStyle="1" w:styleId="TextodenotaderodapChar">
    <w:name w:val="Texto de nota de rodapé Char"/>
    <w:basedOn w:val="Fontepargpadro"/>
    <w:link w:val="Textodenotaderodap"/>
    <w:uiPriority w:val="99"/>
    <w:rsid w:val="0094551B"/>
    <w:rPr>
      <w:rFonts w:ascii="Times New Roman" w:eastAsiaTheme="minorEastAsia" w:hAnsi="Times New Roman"/>
      <w:lang w:eastAsia="en-US"/>
    </w:rPr>
  </w:style>
  <w:style w:type="character" w:styleId="Refdenotaderodap">
    <w:name w:val="footnote reference"/>
    <w:basedOn w:val="Fontepargpadro"/>
    <w:uiPriority w:val="99"/>
    <w:semiHidden/>
    <w:unhideWhenUsed/>
    <w:rsid w:val="0094551B"/>
    <w:rPr>
      <w:vertAlign w:val="superscript"/>
    </w:rPr>
  </w:style>
  <w:style w:type="character" w:styleId="Refdenotadefim">
    <w:name w:val="endnote reference"/>
    <w:basedOn w:val="Fontepargpadro"/>
    <w:uiPriority w:val="99"/>
    <w:semiHidden/>
    <w:unhideWhenUsed/>
    <w:rsid w:val="008425E1"/>
    <w:rPr>
      <w:vertAlign w:val="superscript"/>
    </w:rPr>
  </w:style>
  <w:style w:type="paragraph" w:customStyle="1" w:styleId="formula">
    <w:name w:val="formula"/>
    <w:basedOn w:val="Normal"/>
    <w:link w:val="formulaChar"/>
    <w:qFormat/>
    <w:rsid w:val="008425E1"/>
    <w:pPr>
      <w:tabs>
        <w:tab w:val="right" w:pos="9072"/>
      </w:tabs>
      <w:spacing w:before="240" w:after="120" w:line="360" w:lineRule="auto"/>
      <w:ind w:left="1134"/>
      <w:jc w:val="both"/>
    </w:pPr>
    <w:rPr>
      <w:rFonts w:ascii="Cambria Math" w:eastAsiaTheme="minorEastAsia" w:hAnsi="Cambria Math"/>
      <w:i/>
      <w:iCs/>
      <w:sz w:val="24"/>
      <w:szCs w:val="24"/>
      <w:lang w:val="en-US"/>
    </w:rPr>
  </w:style>
  <w:style w:type="character" w:customStyle="1" w:styleId="formulaChar">
    <w:name w:val="formula Char"/>
    <w:basedOn w:val="Fontepargpadro"/>
    <w:link w:val="formula"/>
    <w:rsid w:val="008425E1"/>
    <w:rPr>
      <w:rFonts w:ascii="Cambria Math" w:eastAsiaTheme="minorEastAsia" w:hAnsi="Cambria Math"/>
      <w:i/>
      <w:iCs/>
      <w:sz w:val="24"/>
      <w:szCs w:val="24"/>
      <w:lang w:val="en-US" w:eastAsia="en-US"/>
    </w:rPr>
  </w:style>
  <w:style w:type="paragraph" w:styleId="PargrafodaLista">
    <w:name w:val="List Paragraph"/>
    <w:basedOn w:val="Normal"/>
    <w:uiPriority w:val="34"/>
    <w:qFormat/>
    <w:rsid w:val="00876E97"/>
    <w:pPr>
      <w:tabs>
        <w:tab w:val="right" w:pos="9072"/>
      </w:tabs>
      <w:spacing w:before="120" w:after="0" w:line="360" w:lineRule="auto"/>
      <w:ind w:left="720"/>
      <w:contextualSpacing/>
      <w:jc w:val="both"/>
    </w:pPr>
    <w:rPr>
      <w:rFonts w:ascii="Times New Roman" w:eastAsiaTheme="minorEastAsia" w:hAnsi="Times New Roman"/>
      <w:sz w:val="24"/>
      <w:szCs w:val="24"/>
      <w:lang w:val="en-GB"/>
    </w:rPr>
  </w:style>
  <w:style w:type="paragraph" w:styleId="Textodenotadefim">
    <w:name w:val="endnote text"/>
    <w:basedOn w:val="Normal"/>
    <w:link w:val="TextodenotadefimChar"/>
    <w:uiPriority w:val="99"/>
    <w:unhideWhenUsed/>
    <w:rsid w:val="00C90405"/>
    <w:pPr>
      <w:tabs>
        <w:tab w:val="right" w:pos="9072"/>
      </w:tabs>
      <w:spacing w:after="0" w:line="240" w:lineRule="auto"/>
      <w:jc w:val="both"/>
    </w:pPr>
    <w:rPr>
      <w:rFonts w:ascii="Times New Roman" w:eastAsiaTheme="minorEastAsia" w:hAnsi="Times New Roman"/>
      <w:sz w:val="20"/>
      <w:szCs w:val="20"/>
      <w:lang w:val="en-GB"/>
    </w:rPr>
  </w:style>
  <w:style w:type="character" w:customStyle="1" w:styleId="TextodenotadefimChar">
    <w:name w:val="Texto de nota de fim Char"/>
    <w:basedOn w:val="Fontepargpadro"/>
    <w:link w:val="Textodenotadefim"/>
    <w:uiPriority w:val="99"/>
    <w:rsid w:val="00C90405"/>
    <w:rPr>
      <w:rFonts w:ascii="Times New Roman" w:eastAsiaTheme="minorEastAsia"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955116">
      <w:bodyDiv w:val="1"/>
      <w:marLeft w:val="0"/>
      <w:marRight w:val="0"/>
      <w:marTop w:val="0"/>
      <w:marBottom w:val="0"/>
      <w:divBdr>
        <w:top w:val="none" w:sz="0" w:space="0" w:color="auto"/>
        <w:left w:val="none" w:sz="0" w:space="0" w:color="auto"/>
        <w:bottom w:val="none" w:sz="0" w:space="0" w:color="auto"/>
        <w:right w:val="none" w:sz="0" w:space="0" w:color="auto"/>
      </w:divBdr>
    </w:div>
    <w:div w:id="1598559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10" Type="http://schemas.openxmlformats.org/officeDocument/2006/relationships/image" Target="media/image4.jpg"/><Relationship Id="rId19" Type="http://schemas.openxmlformats.org/officeDocument/2006/relationships/image" Target="media/image13.jpg"/><Relationship Id="rId31" Type="http://schemas.microsoft.com/office/2020/10/relationships/intelligence" Target="intelligence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1738</Words>
  <Characters>11159</Characters>
  <Application>Microsoft Office Word</Application>
  <DocSecurity>0</DocSecurity>
  <Lines>195</Lines>
  <Paragraphs>59</Paragraphs>
  <ScaleCrop>false</ScaleCrop>
  <Company>DESY</Company>
  <LinksUpToDate>false</LinksUpToDate>
  <CharactersWithSpaces>12838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Isabela Castro de Moraes</cp:lastModifiedBy>
  <cp:revision>9</cp:revision>
  <cp:lastPrinted>2015-09-25T06:38:00Z</cp:lastPrinted>
  <dcterms:created xsi:type="dcterms:W3CDTF">2019-08-30T04:14:00Z</dcterms:created>
  <dcterms:modified xsi:type="dcterms:W3CDTF">2025-11-17T12:46:00Z</dcterms:modified>
</cp:coreProperties>
</file>